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655" w14:textId="77777777" w:rsidR="00BF2DD2" w:rsidRDefault="00CA65F6">
      <w:pPr>
        <w:widowControl w:val="0"/>
        <w:autoSpaceDE w:val="0"/>
        <w:autoSpaceDN w:val="0"/>
        <w:adjustRightInd w:val="0"/>
        <w:spacing w:line="280" w:lineRule="atLeast"/>
        <w:ind w:left="-284" w:right="-421" w:hanging="992"/>
        <w:rPr>
          <w:rFonts w:ascii="Arial" w:hAnsi="Arial" w:cs="Arial"/>
          <w:b/>
          <w:bCs/>
          <w:color w:val="137C35"/>
          <w:sz w:val="23"/>
          <w:szCs w:val="23"/>
        </w:rPr>
      </w:pPr>
      <w:r>
        <w:rPr>
          <w:rFonts w:ascii="Arial" w:hAnsi="Arial" w:cs="Arial"/>
          <w:noProof/>
          <w:color w:val="000000"/>
          <w:sz w:val="23"/>
          <w:szCs w:val="23"/>
        </w:rPr>
        <w:drawing>
          <wp:inline distT="0" distB="0" distL="0" distR="0" wp14:anchorId="4B33D8B5" wp14:editId="1F0D8693">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Pr>
          <w:rFonts w:ascii="Arial" w:hAnsi="Arial" w:cs="Arial"/>
          <w:b/>
          <w:bCs/>
          <w:color w:val="137C35"/>
          <w:sz w:val="48"/>
          <w:szCs w:val="23"/>
        </w:rPr>
        <w:t>BACHELOR OF SCIENCE IN NURSING: COMMUNITY HEALTH NURSING</w:t>
      </w:r>
    </w:p>
    <w:p w14:paraId="16931F5C" w14:textId="77777777" w:rsidR="00BF2DD2" w:rsidRDefault="00BF2DD2">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BF2DD2" w14:paraId="3985836F" w14:textId="77777777">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2526D627" w14:textId="77777777" w:rsidR="00BF2DD2" w:rsidRDefault="00CA65F6">
            <w:pPr>
              <w:widowControl w:val="0"/>
              <w:autoSpaceDE w:val="0"/>
              <w:autoSpaceDN w:val="0"/>
              <w:adjustRightInd w:val="0"/>
              <w:spacing w:line="280" w:lineRule="atLeast"/>
              <w:jc w:val="center"/>
              <w:rPr>
                <w:rFonts w:ascii="Arial" w:hAnsi="Arial" w:cs="Arial"/>
                <w:color w:val="000000"/>
                <w:sz w:val="23"/>
                <w:szCs w:val="23"/>
              </w:rPr>
            </w:pPr>
            <w:r>
              <w:rPr>
                <w:rFonts w:ascii="Arial" w:hAnsi="Arial" w:cs="Arial"/>
                <w:noProof/>
                <w:color w:val="000000"/>
                <w:sz w:val="23"/>
                <w:szCs w:val="23"/>
              </w:rPr>
              <w:drawing>
                <wp:inline distT="0" distB="0" distL="0" distR="0" wp14:anchorId="64F081AD" wp14:editId="79ABC69A">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Arial" w:hAnsi="Arial" w:cs="Arial"/>
                <w:noProof/>
                <w:color w:val="000000"/>
                <w:sz w:val="23"/>
                <w:szCs w:val="23"/>
              </w:rPr>
              <w:drawing>
                <wp:inline distT="0" distB="0" distL="0" distR="0" wp14:anchorId="4DEEEC58" wp14:editId="61EDC31C">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14:paraId="5DF265D1" w14:textId="77777777" w:rsidR="00BF2DD2" w:rsidRDefault="00CA65F6">
            <w:pPr>
              <w:widowControl w:val="0"/>
              <w:autoSpaceDE w:val="0"/>
              <w:autoSpaceDN w:val="0"/>
              <w:adjustRightInd w:val="0"/>
              <w:spacing w:line="360" w:lineRule="atLeast"/>
              <w:jc w:val="center"/>
              <w:rPr>
                <w:rFonts w:ascii="Arial" w:hAnsi="Arial" w:cs="Arial"/>
                <w:color w:val="000000"/>
                <w:sz w:val="23"/>
                <w:szCs w:val="23"/>
              </w:rPr>
            </w:pPr>
            <w:r>
              <w:rPr>
                <w:rFonts w:ascii="Arial" w:hAnsi="Arial" w:cs="Arial"/>
                <w:b/>
                <w:bCs/>
                <w:color w:val="FFFFFF"/>
                <w:sz w:val="23"/>
                <w:szCs w:val="23"/>
              </w:rPr>
              <w:t>COURSE MODULE</w:t>
            </w:r>
          </w:p>
          <w:p w14:paraId="3738DFFD" w14:textId="77777777" w:rsidR="00BF2DD2" w:rsidRDefault="00CA65F6">
            <w:pPr>
              <w:widowControl w:val="0"/>
              <w:autoSpaceDE w:val="0"/>
              <w:autoSpaceDN w:val="0"/>
              <w:adjustRightInd w:val="0"/>
              <w:spacing w:line="280" w:lineRule="atLeast"/>
              <w:rPr>
                <w:rFonts w:ascii="Arial" w:hAnsi="Arial" w:cs="Arial"/>
                <w:color w:val="000000"/>
                <w:sz w:val="23"/>
                <w:szCs w:val="23"/>
              </w:rPr>
            </w:pPr>
            <w:r>
              <w:rPr>
                <w:rFonts w:ascii="Arial" w:hAnsi="Arial" w:cs="Arial"/>
                <w:noProof/>
                <w:color w:val="000000"/>
                <w:sz w:val="23"/>
                <w:szCs w:val="23"/>
              </w:rPr>
              <w:drawing>
                <wp:inline distT="0" distB="0" distL="0" distR="0" wp14:anchorId="7962EC86" wp14:editId="6318CB56">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1BF5B751" w14:textId="77777777" w:rsidR="00BF2DD2" w:rsidRDefault="00CA65F6">
            <w:pPr>
              <w:widowControl w:val="0"/>
              <w:autoSpaceDE w:val="0"/>
              <w:autoSpaceDN w:val="0"/>
              <w:adjustRightInd w:val="0"/>
              <w:spacing w:line="360" w:lineRule="atLeast"/>
              <w:jc w:val="center"/>
              <w:rPr>
                <w:rFonts w:ascii="Arial" w:hAnsi="Arial" w:cs="Arial"/>
                <w:color w:val="000000"/>
                <w:sz w:val="23"/>
                <w:szCs w:val="23"/>
              </w:rPr>
            </w:pPr>
            <w:r>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3C866010" w14:textId="77777777" w:rsidR="00BF2DD2" w:rsidRDefault="00CA65F6">
            <w:pPr>
              <w:widowControl w:val="0"/>
              <w:autoSpaceDE w:val="0"/>
              <w:autoSpaceDN w:val="0"/>
              <w:adjustRightInd w:val="0"/>
              <w:spacing w:line="280" w:lineRule="atLeast"/>
              <w:jc w:val="center"/>
              <w:rPr>
                <w:rFonts w:ascii="Arial" w:hAnsi="Arial" w:cs="Arial"/>
                <w:color w:val="000000"/>
                <w:sz w:val="23"/>
                <w:szCs w:val="23"/>
              </w:rPr>
            </w:pPr>
            <w:r>
              <w:rPr>
                <w:rFonts w:ascii="Arial" w:hAnsi="Arial" w:cs="Arial"/>
                <w:noProof/>
                <w:color w:val="000000"/>
                <w:sz w:val="23"/>
                <w:szCs w:val="23"/>
              </w:rPr>
              <w:drawing>
                <wp:inline distT="0" distB="0" distL="0" distR="0" wp14:anchorId="493D896B" wp14:editId="58CDAC48">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Arial" w:hAnsi="Arial" w:cs="Arial"/>
                <w:noProof/>
                <w:color w:val="000000"/>
                <w:sz w:val="23"/>
                <w:szCs w:val="23"/>
              </w:rPr>
              <w:drawing>
                <wp:inline distT="0" distB="0" distL="0" distR="0" wp14:anchorId="65571AE6" wp14:editId="59AFD41A">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0A202427" w14:textId="77777777" w:rsidR="00BF2DD2" w:rsidRDefault="00CA65F6">
            <w:pPr>
              <w:widowControl w:val="0"/>
              <w:autoSpaceDE w:val="0"/>
              <w:autoSpaceDN w:val="0"/>
              <w:adjustRightInd w:val="0"/>
              <w:spacing w:line="360" w:lineRule="atLeast"/>
              <w:jc w:val="center"/>
              <w:rPr>
                <w:rFonts w:ascii="Arial" w:hAnsi="Arial" w:cs="Arial"/>
                <w:color w:val="000000"/>
                <w:sz w:val="23"/>
                <w:szCs w:val="23"/>
              </w:rPr>
            </w:pPr>
            <w:r>
              <w:rPr>
                <w:rFonts w:ascii="Arial" w:hAnsi="Arial" w:cs="Arial"/>
                <w:b/>
                <w:bCs/>
                <w:color w:val="FFFFFF"/>
                <w:sz w:val="23"/>
                <w:szCs w:val="23"/>
              </w:rPr>
              <w:t>WEEK</w:t>
            </w:r>
          </w:p>
          <w:p w14:paraId="0E179395" w14:textId="77777777" w:rsidR="00BF2DD2" w:rsidRDefault="00BF2DD2">
            <w:pPr>
              <w:widowControl w:val="0"/>
              <w:autoSpaceDE w:val="0"/>
              <w:autoSpaceDN w:val="0"/>
              <w:adjustRightInd w:val="0"/>
              <w:spacing w:line="280" w:lineRule="atLeast"/>
              <w:jc w:val="center"/>
              <w:rPr>
                <w:rFonts w:ascii="Arial" w:hAnsi="Arial" w:cs="Arial"/>
                <w:color w:val="000000"/>
                <w:sz w:val="23"/>
                <w:szCs w:val="23"/>
              </w:rPr>
            </w:pPr>
          </w:p>
        </w:tc>
      </w:tr>
      <w:tr w:rsidR="00BF2DD2" w14:paraId="214DD8D3" w14:textId="77777777">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52101E07" w14:textId="77777777" w:rsidR="00BF2DD2" w:rsidRDefault="00CA65F6">
            <w:pPr>
              <w:widowControl w:val="0"/>
              <w:autoSpaceDE w:val="0"/>
              <w:autoSpaceDN w:val="0"/>
              <w:adjustRightInd w:val="0"/>
              <w:spacing w:line="280" w:lineRule="atLeast"/>
              <w:jc w:val="center"/>
              <w:rPr>
                <w:rFonts w:ascii="Arial" w:hAnsi="Arial" w:cs="Arial"/>
                <w:b/>
                <w:color w:val="000000"/>
                <w:sz w:val="23"/>
                <w:szCs w:val="23"/>
              </w:rPr>
            </w:pPr>
            <w:r>
              <w:rPr>
                <w:rFonts w:ascii="Arial" w:hAnsi="Arial" w:cs="Arial"/>
                <w:b/>
                <w:noProof/>
                <w:color w:val="000000"/>
                <w:sz w:val="23"/>
                <w:szCs w:val="23"/>
              </w:rPr>
              <w:drawing>
                <wp:inline distT="0" distB="0" distL="0" distR="0" wp14:anchorId="4968CE86" wp14:editId="54C7C5CB">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Arial" w:hAnsi="Arial" w:cs="Arial"/>
                <w:b/>
                <w:color w:val="211D1E"/>
                <w:sz w:val="23"/>
                <w:szCs w:val="23"/>
              </w:rPr>
              <w:t>CM3</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4F5CD12D" w14:textId="77777777" w:rsidR="00BF2DD2" w:rsidRDefault="00CA65F6">
            <w:pPr>
              <w:widowControl w:val="0"/>
              <w:autoSpaceDE w:val="0"/>
              <w:autoSpaceDN w:val="0"/>
              <w:adjustRightInd w:val="0"/>
              <w:spacing w:line="340" w:lineRule="atLeast"/>
              <w:jc w:val="center"/>
              <w:rPr>
                <w:rFonts w:ascii="Arial" w:hAnsi="Arial" w:cs="Arial"/>
                <w:b/>
                <w:color w:val="000000"/>
                <w:sz w:val="23"/>
                <w:szCs w:val="23"/>
              </w:rPr>
            </w:pPr>
            <w:r>
              <w:rPr>
                <w:rFonts w:ascii="Arial" w:hAnsi="Arial" w:cs="Arial"/>
                <w:b/>
                <w:color w:val="211D1E"/>
                <w:sz w:val="23"/>
                <w:szCs w:val="23"/>
              </w:rPr>
              <w:t>CM3-CT1</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36D194FF" w14:textId="77777777" w:rsidR="00BF2DD2" w:rsidRDefault="00CA65F6">
            <w:pPr>
              <w:widowControl w:val="0"/>
              <w:autoSpaceDE w:val="0"/>
              <w:autoSpaceDN w:val="0"/>
              <w:adjustRightInd w:val="0"/>
              <w:spacing w:line="340" w:lineRule="atLeast"/>
              <w:jc w:val="center"/>
              <w:rPr>
                <w:rFonts w:ascii="Arial" w:hAnsi="Arial" w:cs="Arial"/>
                <w:b/>
                <w:color w:val="000000"/>
                <w:sz w:val="23"/>
                <w:szCs w:val="23"/>
              </w:rPr>
            </w:pPr>
            <w:r>
              <w:rPr>
                <w:rFonts w:ascii="Arial" w:hAnsi="Arial" w:cs="Arial"/>
                <w:b/>
                <w:color w:val="000000"/>
                <w:sz w:val="23"/>
                <w:szCs w:val="23"/>
              </w:rPr>
              <w:t>11</w:t>
            </w:r>
          </w:p>
        </w:tc>
      </w:tr>
      <w:tr w:rsidR="00BF2DD2" w14:paraId="6289DDBE" w14:textId="77777777">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14:paraId="4283D67E" w14:textId="77777777" w:rsidR="00BF2DD2" w:rsidRDefault="00BF2DD2">
            <w:pPr>
              <w:spacing w:after="0"/>
              <w:jc w:val="both"/>
              <w:rPr>
                <w:rFonts w:ascii="Arial" w:eastAsiaTheme="majorEastAsia" w:hAnsi="Arial" w:cs="Arial"/>
                <w:b/>
                <w:bCs/>
                <w:color w:val="404040" w:themeColor="text1" w:themeTint="BF"/>
                <w:kern w:val="24"/>
                <w:sz w:val="23"/>
                <w:szCs w:val="23"/>
                <w:lang w:val="en-PH"/>
              </w:rPr>
            </w:pPr>
          </w:p>
          <w:p w14:paraId="56C87052" w14:textId="77777777" w:rsidR="00BF2DD2" w:rsidRDefault="00CA65F6">
            <w:pPr>
              <w:spacing w:after="0" w:line="240" w:lineRule="auto"/>
              <w:jc w:val="center"/>
              <w:rPr>
                <w:rFonts w:ascii="Arial" w:hAnsi="Arial" w:cs="Arial"/>
                <w:b/>
                <w:color w:val="000000"/>
                <w:sz w:val="28"/>
                <w:szCs w:val="28"/>
              </w:rPr>
            </w:pPr>
            <w:r>
              <w:rPr>
                <w:rFonts w:ascii="Arial" w:hAnsi="Arial" w:cs="Arial"/>
                <w:b/>
                <w:color w:val="211D1E"/>
                <w:szCs w:val="23"/>
              </w:rPr>
              <w:t>PUBLIC HEALTH LAWS</w:t>
            </w:r>
          </w:p>
        </w:tc>
      </w:tr>
    </w:tbl>
    <w:p w14:paraId="5E0CA7B3" w14:textId="77777777" w:rsidR="00BF2DD2" w:rsidRDefault="00BF2DD2">
      <w:pPr>
        <w:rPr>
          <w:rFonts w:ascii="Arial" w:hAnsi="Arial" w:cs="Arial"/>
          <w:sz w:val="23"/>
          <w:szCs w:val="23"/>
        </w:rPr>
      </w:pPr>
    </w:p>
    <w:p w14:paraId="268A6A86" w14:textId="77777777" w:rsidR="00BF2DD2" w:rsidRDefault="00CA65F6">
      <w:pPr>
        <w:widowControl w:val="0"/>
        <w:autoSpaceDE w:val="0"/>
        <w:autoSpaceDN w:val="0"/>
        <w:adjustRightInd w:val="0"/>
        <w:spacing w:line="280" w:lineRule="atLeast"/>
        <w:rPr>
          <w:rFonts w:ascii="Arial" w:hAnsi="Arial" w:cs="Arial"/>
          <w:color w:val="000000"/>
          <w:sz w:val="23"/>
          <w:szCs w:val="23"/>
        </w:rPr>
      </w:pPr>
      <w:r>
        <w:rPr>
          <w:rFonts w:ascii="Arial" w:hAnsi="Arial" w:cs="Arial"/>
          <w:noProof/>
          <w:color w:val="000000"/>
          <w:sz w:val="23"/>
          <w:szCs w:val="23"/>
        </w:rPr>
        <w:drawing>
          <wp:inline distT="0" distB="0" distL="0" distR="0" wp14:anchorId="0EFBD1CB" wp14:editId="6DAC1270">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Pr>
          <w:rFonts w:ascii="Arial" w:hAnsi="Arial" w:cs="Arial"/>
          <w:color w:val="000000"/>
          <w:sz w:val="23"/>
          <w:szCs w:val="23"/>
        </w:rPr>
        <w:t xml:space="preserve"> </w:t>
      </w:r>
    </w:p>
    <w:p w14:paraId="2725711F" w14:textId="77777777" w:rsidR="00BF2DD2" w:rsidRDefault="00CA65F6">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Pr>
          <w:rFonts w:ascii="Arial" w:hAnsi="Arial" w:cs="Arial"/>
          <w:color w:val="000000"/>
          <w:sz w:val="23"/>
          <w:szCs w:val="23"/>
        </w:rPr>
        <w:t>Read course and unit objectives</w:t>
      </w:r>
      <w:r>
        <w:rPr>
          <w:rFonts w:ascii="Tahoma" w:eastAsia="MS Mincho" w:hAnsi="Tahoma" w:cs="Tahoma"/>
          <w:color w:val="000000"/>
          <w:sz w:val="23"/>
          <w:szCs w:val="23"/>
        </w:rPr>
        <w:t> </w:t>
      </w:r>
    </w:p>
    <w:p w14:paraId="62716EF4" w14:textId="77777777" w:rsidR="00BF2DD2" w:rsidRDefault="00CA65F6">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Pr>
          <w:rFonts w:ascii="Arial" w:hAnsi="Arial" w:cs="Arial"/>
          <w:color w:val="000000"/>
          <w:sz w:val="23"/>
          <w:szCs w:val="23"/>
        </w:rPr>
        <w:t xml:space="preserve">Read study guide prior to class attendance </w:t>
      </w:r>
    </w:p>
    <w:p w14:paraId="34BA656D" w14:textId="77777777" w:rsidR="00BF2DD2" w:rsidRDefault="00CA65F6">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Pr>
          <w:rFonts w:ascii="Arial" w:hAnsi="Arial" w:cs="Arial"/>
          <w:color w:val="000000"/>
          <w:sz w:val="23"/>
          <w:szCs w:val="23"/>
        </w:rPr>
        <w:t>Read required learning resources; refer to unit terminologies for jargons</w:t>
      </w:r>
      <w:r>
        <w:rPr>
          <w:rFonts w:ascii="Tahoma" w:eastAsia="MS Mincho" w:hAnsi="Tahoma" w:cs="Tahoma"/>
          <w:color w:val="000000"/>
          <w:sz w:val="23"/>
          <w:szCs w:val="23"/>
        </w:rPr>
        <w:t> </w:t>
      </w:r>
    </w:p>
    <w:p w14:paraId="6DD1D7D1" w14:textId="77777777" w:rsidR="00BF2DD2" w:rsidRDefault="00CA65F6">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Pr>
          <w:rFonts w:ascii="Arial" w:hAnsi="Arial" w:cs="Arial"/>
          <w:color w:val="000000"/>
          <w:sz w:val="23"/>
          <w:szCs w:val="23"/>
        </w:rPr>
        <w:t xml:space="preserve">Proactively participate in classroom discussions </w:t>
      </w:r>
    </w:p>
    <w:p w14:paraId="2651693C" w14:textId="77777777" w:rsidR="00BF2DD2" w:rsidRDefault="00CA65F6">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Pr>
          <w:rFonts w:ascii="Arial" w:hAnsi="Arial" w:cs="Arial"/>
          <w:color w:val="000000"/>
          <w:sz w:val="23"/>
          <w:szCs w:val="23"/>
        </w:rPr>
        <w:t xml:space="preserve">Participate in weekly discussion board (Canvas) Answer and submit course unit tasks </w:t>
      </w:r>
    </w:p>
    <w:p w14:paraId="1C3EE376" w14:textId="77777777" w:rsidR="00BF2DD2" w:rsidRDefault="00CA65F6">
      <w:pPr>
        <w:widowControl w:val="0"/>
        <w:autoSpaceDE w:val="0"/>
        <w:autoSpaceDN w:val="0"/>
        <w:adjustRightInd w:val="0"/>
        <w:spacing w:line="360" w:lineRule="atLeast"/>
        <w:rPr>
          <w:rFonts w:ascii="Arial" w:hAnsi="Arial" w:cs="Arial"/>
          <w:color w:val="000000"/>
          <w:sz w:val="23"/>
          <w:szCs w:val="23"/>
        </w:rPr>
      </w:pPr>
      <w:r>
        <w:rPr>
          <w:rFonts w:ascii="Arial" w:hAnsi="Arial" w:cs="Arial"/>
          <w:noProof/>
          <w:color w:val="000000"/>
          <w:sz w:val="23"/>
          <w:szCs w:val="23"/>
        </w:rPr>
        <w:lastRenderedPageBreak/>
        <w:drawing>
          <wp:inline distT="0" distB="0" distL="0" distR="0" wp14:anchorId="7D4C4DA4" wp14:editId="734B8FA0">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14:paraId="33A8F657" w14:textId="77777777" w:rsidR="00BF2DD2" w:rsidRDefault="00CA65F6">
      <w:pPr>
        <w:widowControl w:val="0"/>
        <w:autoSpaceDE w:val="0"/>
        <w:autoSpaceDN w:val="0"/>
        <w:adjustRightInd w:val="0"/>
        <w:spacing w:after="0" w:line="360" w:lineRule="atLeast"/>
        <w:rPr>
          <w:rFonts w:ascii="Arial" w:eastAsia="Calibri" w:hAnsi="Arial" w:cs="Arial"/>
          <w:color w:val="000000"/>
          <w:sz w:val="23"/>
          <w:szCs w:val="23"/>
        </w:rPr>
      </w:pPr>
      <w:r>
        <w:rPr>
          <w:rFonts w:ascii="Arial" w:eastAsia="Calibri" w:hAnsi="Arial" w:cs="Arial"/>
          <w:color w:val="000000"/>
          <w:sz w:val="23"/>
          <w:szCs w:val="23"/>
        </w:rPr>
        <w:t xml:space="preserve">At the end of this unit, the students are expected to: </w:t>
      </w:r>
    </w:p>
    <w:p w14:paraId="73FF4497" w14:textId="77777777" w:rsidR="00BF2DD2" w:rsidRDefault="00CA65F6">
      <w:pPr>
        <w:widowControl w:val="0"/>
        <w:autoSpaceDE w:val="0"/>
        <w:autoSpaceDN w:val="0"/>
        <w:adjustRightInd w:val="0"/>
        <w:spacing w:after="120" w:line="360" w:lineRule="atLeast"/>
        <w:rPr>
          <w:rFonts w:ascii="Arial" w:eastAsia="Times New Roman" w:hAnsi="Arial" w:cs="Arial"/>
          <w:color w:val="FFFFFF"/>
          <w:sz w:val="23"/>
          <w:szCs w:val="23"/>
          <w:shd w:val="clear" w:color="auto" w:fill="000000"/>
        </w:rPr>
      </w:pPr>
      <w:r>
        <w:rPr>
          <w:rFonts w:ascii="Arial" w:eastAsia="Calibri" w:hAnsi="Arial" w:cs="Arial"/>
          <w:sz w:val="23"/>
          <w:szCs w:val="23"/>
        </w:rPr>
        <w:t>Cognitive:</w:t>
      </w:r>
    </w:p>
    <w:p w14:paraId="22F73EA8" w14:textId="77777777" w:rsidR="00BF2DD2" w:rsidRDefault="00CA65F6">
      <w:pPr>
        <w:pStyle w:val="ListParagraph"/>
        <w:widowControl w:val="0"/>
        <w:numPr>
          <w:ilvl w:val="0"/>
          <w:numId w:val="2"/>
        </w:numPr>
        <w:autoSpaceDE w:val="0"/>
        <w:autoSpaceDN w:val="0"/>
        <w:adjustRightInd w:val="0"/>
        <w:spacing w:after="120" w:line="360" w:lineRule="atLeast"/>
        <w:rPr>
          <w:rFonts w:ascii="Arial" w:eastAsia="Calibri" w:hAnsi="Arial" w:cs="Arial"/>
          <w:sz w:val="23"/>
          <w:szCs w:val="23"/>
        </w:rPr>
      </w:pPr>
      <w:r>
        <w:rPr>
          <w:rFonts w:ascii="Arial" w:eastAsia="Calibri" w:hAnsi="Arial" w:cs="Arial"/>
          <w:sz w:val="23"/>
          <w:szCs w:val="23"/>
        </w:rPr>
        <w:t>Describe the Public Health Laws under the Community Health Nursing</w:t>
      </w:r>
    </w:p>
    <w:p w14:paraId="022B78CB" w14:textId="77777777" w:rsidR="00BF2DD2" w:rsidRDefault="00CA65F6">
      <w:pPr>
        <w:pStyle w:val="ListParagraph"/>
        <w:widowControl w:val="0"/>
        <w:numPr>
          <w:ilvl w:val="0"/>
          <w:numId w:val="2"/>
        </w:numPr>
        <w:autoSpaceDE w:val="0"/>
        <w:autoSpaceDN w:val="0"/>
        <w:adjustRightInd w:val="0"/>
        <w:spacing w:after="120" w:line="360" w:lineRule="atLeast"/>
        <w:rPr>
          <w:rFonts w:ascii="Arial" w:eastAsia="Calibri" w:hAnsi="Arial" w:cs="Arial"/>
          <w:sz w:val="23"/>
          <w:szCs w:val="23"/>
        </w:rPr>
      </w:pPr>
      <w:r>
        <w:rPr>
          <w:rFonts w:ascii="Arial" w:eastAsia="Calibri" w:hAnsi="Arial" w:cs="Arial"/>
          <w:sz w:val="23"/>
          <w:szCs w:val="23"/>
        </w:rPr>
        <w:t>List several Public Health Laws that affects the people in the Community.</w:t>
      </w:r>
    </w:p>
    <w:p w14:paraId="58C5BB57" w14:textId="77777777" w:rsidR="00BF2DD2" w:rsidRDefault="00CA65F6">
      <w:pPr>
        <w:pStyle w:val="ListParagraph"/>
        <w:widowControl w:val="0"/>
        <w:numPr>
          <w:ilvl w:val="0"/>
          <w:numId w:val="2"/>
        </w:numPr>
        <w:autoSpaceDE w:val="0"/>
        <w:autoSpaceDN w:val="0"/>
        <w:adjustRightInd w:val="0"/>
        <w:spacing w:after="120" w:line="360" w:lineRule="atLeast"/>
        <w:rPr>
          <w:rFonts w:ascii="Arial" w:eastAsia="Calibri" w:hAnsi="Arial" w:cs="Arial"/>
          <w:sz w:val="23"/>
          <w:szCs w:val="23"/>
        </w:rPr>
      </w:pPr>
      <w:r>
        <w:rPr>
          <w:rFonts w:ascii="Arial" w:eastAsia="Calibri" w:hAnsi="Arial" w:cs="Arial"/>
          <w:sz w:val="23"/>
          <w:szCs w:val="23"/>
        </w:rPr>
        <w:t>Enumerate the types of water sanitation</w:t>
      </w:r>
    </w:p>
    <w:p w14:paraId="34B0F045" w14:textId="77777777" w:rsidR="00BF2DD2" w:rsidRDefault="00CA65F6">
      <w:pPr>
        <w:widowControl w:val="0"/>
        <w:autoSpaceDE w:val="0"/>
        <w:autoSpaceDN w:val="0"/>
        <w:adjustRightInd w:val="0"/>
        <w:spacing w:after="120" w:line="273" w:lineRule="auto"/>
        <w:rPr>
          <w:rFonts w:ascii="Arial" w:eastAsia="Calibri" w:hAnsi="Arial" w:cs="Arial"/>
          <w:sz w:val="23"/>
          <w:szCs w:val="23"/>
        </w:rPr>
      </w:pPr>
      <w:r>
        <w:rPr>
          <w:rFonts w:ascii="Arial" w:eastAsia="Calibri" w:hAnsi="Arial" w:cs="Arial"/>
          <w:sz w:val="23"/>
          <w:szCs w:val="23"/>
        </w:rPr>
        <w:t>Affective:</w:t>
      </w:r>
    </w:p>
    <w:p w14:paraId="02FE549F" w14:textId="77777777" w:rsidR="00BF2DD2" w:rsidRDefault="00CA65F6">
      <w:pPr>
        <w:pStyle w:val="ListParagraph"/>
        <w:widowControl w:val="0"/>
        <w:numPr>
          <w:ilvl w:val="1"/>
          <w:numId w:val="2"/>
        </w:numPr>
        <w:tabs>
          <w:tab w:val="clear" w:pos="1440"/>
        </w:tabs>
        <w:autoSpaceDE w:val="0"/>
        <w:autoSpaceDN w:val="0"/>
        <w:adjustRightInd w:val="0"/>
        <w:spacing w:after="120" w:line="273" w:lineRule="auto"/>
        <w:ind w:left="270" w:hanging="270"/>
        <w:rPr>
          <w:rFonts w:ascii="Arial" w:eastAsia="Calibri" w:hAnsi="Arial" w:cs="Arial"/>
          <w:sz w:val="23"/>
          <w:szCs w:val="23"/>
        </w:rPr>
      </w:pPr>
      <w:r>
        <w:rPr>
          <w:rFonts w:ascii="Arial" w:eastAsia="Calibri" w:hAnsi="Arial" w:cs="Arial"/>
          <w:sz w:val="23"/>
          <w:szCs w:val="23"/>
        </w:rPr>
        <w:t>Listen attentively during discussion.</w:t>
      </w:r>
    </w:p>
    <w:p w14:paraId="72010B29" w14:textId="77777777" w:rsidR="00BF2DD2" w:rsidRDefault="00CA65F6">
      <w:pPr>
        <w:pStyle w:val="ListParagraph"/>
        <w:widowControl w:val="0"/>
        <w:numPr>
          <w:ilvl w:val="1"/>
          <w:numId w:val="2"/>
        </w:numPr>
        <w:tabs>
          <w:tab w:val="clear" w:pos="1440"/>
        </w:tabs>
        <w:autoSpaceDE w:val="0"/>
        <w:autoSpaceDN w:val="0"/>
        <w:adjustRightInd w:val="0"/>
        <w:spacing w:after="120" w:line="273" w:lineRule="auto"/>
        <w:ind w:left="270" w:hanging="270"/>
        <w:rPr>
          <w:rFonts w:ascii="Arial" w:eastAsia="Calibri" w:hAnsi="Arial" w:cs="Arial"/>
          <w:sz w:val="23"/>
          <w:szCs w:val="23"/>
        </w:rPr>
      </w:pPr>
      <w:r>
        <w:rPr>
          <w:rFonts w:ascii="Arial" w:eastAsia="Calibri" w:hAnsi="Arial" w:cs="Arial"/>
          <w:sz w:val="23"/>
          <w:szCs w:val="23"/>
        </w:rPr>
        <w:t>Demonstrate tact and respect when challenging other people’s opinion and idea</w:t>
      </w:r>
    </w:p>
    <w:p w14:paraId="2D1614F7" w14:textId="77777777" w:rsidR="00BF2DD2" w:rsidRDefault="00CA65F6">
      <w:pPr>
        <w:widowControl w:val="0"/>
        <w:autoSpaceDE w:val="0"/>
        <w:autoSpaceDN w:val="0"/>
        <w:adjustRightInd w:val="0"/>
        <w:spacing w:line="273" w:lineRule="auto"/>
        <w:rPr>
          <w:rFonts w:ascii="Arial" w:eastAsia="Calibri" w:hAnsi="Arial" w:cs="Arial"/>
          <w:sz w:val="23"/>
          <w:szCs w:val="23"/>
        </w:rPr>
      </w:pPr>
      <w:r>
        <w:rPr>
          <w:rFonts w:ascii="Arial" w:eastAsia="Calibri" w:hAnsi="Arial" w:cs="Arial"/>
          <w:sz w:val="23"/>
          <w:szCs w:val="23"/>
        </w:rPr>
        <w:t>Psychomotor:</w:t>
      </w:r>
    </w:p>
    <w:p w14:paraId="432F15E1" w14:textId="77777777" w:rsidR="00BF2DD2" w:rsidRDefault="00CA65F6">
      <w:pPr>
        <w:widowControl w:val="0"/>
        <w:autoSpaceDE w:val="0"/>
        <w:autoSpaceDN w:val="0"/>
        <w:adjustRightInd w:val="0"/>
        <w:spacing w:line="273" w:lineRule="auto"/>
        <w:rPr>
          <w:rFonts w:ascii="Arial" w:eastAsia="Calibri" w:hAnsi="Arial" w:cs="Arial"/>
          <w:sz w:val="23"/>
          <w:szCs w:val="23"/>
        </w:rPr>
      </w:pPr>
      <w:r>
        <w:rPr>
          <w:rFonts w:ascii="Arial" w:eastAsia="Calibri" w:hAnsi="Arial" w:cs="Arial"/>
          <w:sz w:val="23"/>
          <w:szCs w:val="23"/>
        </w:rPr>
        <w:t>1. Take part in discussion and group activities.</w:t>
      </w:r>
    </w:p>
    <w:p w14:paraId="006743E4" w14:textId="77777777" w:rsidR="00BF2DD2" w:rsidRDefault="00CA65F6">
      <w:pPr>
        <w:widowControl w:val="0"/>
        <w:autoSpaceDE w:val="0"/>
        <w:autoSpaceDN w:val="0"/>
        <w:adjustRightInd w:val="0"/>
        <w:spacing w:line="273" w:lineRule="auto"/>
        <w:rPr>
          <w:rFonts w:ascii="Arial" w:eastAsia="Calibri" w:hAnsi="Arial" w:cs="Arial"/>
          <w:sz w:val="23"/>
          <w:szCs w:val="23"/>
        </w:rPr>
      </w:pPr>
      <w:r>
        <w:rPr>
          <w:rFonts w:ascii="Arial" w:eastAsia="Calibri" w:hAnsi="Arial" w:cs="Arial"/>
          <w:sz w:val="23"/>
          <w:szCs w:val="23"/>
        </w:rPr>
        <w:t xml:space="preserve">2.  Confidently express personal opinion about the topic. </w:t>
      </w:r>
    </w:p>
    <w:p w14:paraId="14A42B91" w14:textId="77777777" w:rsidR="00BF2DD2" w:rsidRDefault="00CA65F6">
      <w:pPr>
        <w:widowControl w:val="0"/>
        <w:autoSpaceDE w:val="0"/>
        <w:autoSpaceDN w:val="0"/>
        <w:adjustRightInd w:val="0"/>
        <w:spacing w:after="120" w:line="276" w:lineRule="auto"/>
        <w:rPr>
          <w:rFonts w:ascii="Arial" w:hAnsi="Arial" w:cs="Arial"/>
          <w:color w:val="000000"/>
          <w:sz w:val="23"/>
          <w:szCs w:val="23"/>
        </w:rPr>
      </w:pPr>
      <w:r>
        <w:rPr>
          <w:rFonts w:ascii="Arial" w:hAnsi="Arial" w:cs="Arial"/>
          <w:noProof/>
          <w:color w:val="000000"/>
          <w:sz w:val="23"/>
          <w:szCs w:val="23"/>
        </w:rPr>
        <w:drawing>
          <wp:inline distT="0" distB="0" distL="0" distR="0" wp14:anchorId="34D1E17D" wp14:editId="72C455B1">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14:paraId="792813D2" w14:textId="77777777" w:rsidR="00BF2DD2" w:rsidRDefault="00CA65F6">
      <w:pPr>
        <w:rPr>
          <w:rFonts w:ascii="Arial" w:hAnsi="Arial" w:cs="Arial"/>
          <w:sz w:val="23"/>
          <w:szCs w:val="23"/>
        </w:rPr>
      </w:pPr>
      <w:r>
        <w:rPr>
          <w:rFonts w:ascii="Arial" w:hAnsi="Arial" w:cs="Arial"/>
          <w:sz w:val="23"/>
          <w:szCs w:val="23"/>
        </w:rPr>
        <w:t>Nursing Care of the Community “A comprehensive text on community and public health nursing in the Philippines” 1</w:t>
      </w:r>
      <w:r>
        <w:rPr>
          <w:rFonts w:ascii="Arial" w:hAnsi="Arial" w:cs="Arial"/>
          <w:sz w:val="23"/>
          <w:szCs w:val="23"/>
          <w:vertAlign w:val="superscript"/>
        </w:rPr>
        <w:t>st</w:t>
      </w:r>
      <w:r>
        <w:rPr>
          <w:rFonts w:ascii="Arial" w:hAnsi="Arial" w:cs="Arial"/>
          <w:sz w:val="23"/>
          <w:szCs w:val="23"/>
        </w:rPr>
        <w:t xml:space="preserve"> Edition Zenaida </w:t>
      </w:r>
      <w:proofErr w:type="spellStart"/>
      <w:r>
        <w:rPr>
          <w:rFonts w:ascii="Arial" w:hAnsi="Arial" w:cs="Arial"/>
          <w:sz w:val="23"/>
          <w:szCs w:val="23"/>
        </w:rPr>
        <w:t>Famorca</w:t>
      </w:r>
      <w:proofErr w:type="spellEnd"/>
    </w:p>
    <w:p w14:paraId="118D45B3" w14:textId="77777777" w:rsidR="00BF2DD2" w:rsidRDefault="00CA65F6">
      <w:pPr>
        <w:rPr>
          <w:rFonts w:ascii="Arial" w:hAnsi="Arial" w:cs="Arial"/>
          <w:sz w:val="23"/>
          <w:szCs w:val="23"/>
        </w:rPr>
      </w:pPr>
      <w:r>
        <w:rPr>
          <w:rFonts w:ascii="Arial" w:hAnsi="Arial" w:cs="Arial"/>
          <w:sz w:val="23"/>
          <w:szCs w:val="23"/>
        </w:rPr>
        <w:t>Nursing Practice in the Community 4</w:t>
      </w:r>
      <w:r>
        <w:rPr>
          <w:rFonts w:ascii="Arial" w:hAnsi="Arial" w:cs="Arial"/>
          <w:sz w:val="23"/>
          <w:szCs w:val="23"/>
          <w:vertAlign w:val="superscript"/>
        </w:rPr>
        <w:t>th</w:t>
      </w:r>
      <w:r>
        <w:rPr>
          <w:rFonts w:ascii="Arial" w:hAnsi="Arial" w:cs="Arial"/>
          <w:sz w:val="23"/>
          <w:szCs w:val="23"/>
        </w:rPr>
        <w:t xml:space="preserve"> Edition Araceli </w:t>
      </w:r>
      <w:proofErr w:type="spellStart"/>
      <w:r>
        <w:rPr>
          <w:rFonts w:ascii="Arial" w:hAnsi="Arial" w:cs="Arial"/>
          <w:sz w:val="23"/>
          <w:szCs w:val="23"/>
        </w:rPr>
        <w:t>Maglaya</w:t>
      </w:r>
      <w:proofErr w:type="spellEnd"/>
    </w:p>
    <w:p w14:paraId="73B7AAFB" w14:textId="77777777" w:rsidR="00BF2DD2" w:rsidRDefault="00CA65F6">
      <w:pPr>
        <w:rPr>
          <w:rFonts w:ascii="Arial" w:hAnsi="Arial" w:cs="Arial"/>
          <w:sz w:val="23"/>
          <w:szCs w:val="23"/>
        </w:rPr>
      </w:pPr>
      <w:r>
        <w:rPr>
          <w:rFonts w:ascii="Arial" w:hAnsi="Arial" w:cs="Arial"/>
          <w:sz w:val="23"/>
          <w:szCs w:val="23"/>
        </w:rPr>
        <w:t>Public Health Nursing in the Philippines 10</w:t>
      </w:r>
      <w:r>
        <w:rPr>
          <w:rFonts w:ascii="Arial" w:hAnsi="Arial" w:cs="Arial"/>
          <w:sz w:val="23"/>
          <w:szCs w:val="23"/>
          <w:vertAlign w:val="superscript"/>
        </w:rPr>
        <w:t>th</w:t>
      </w:r>
      <w:r>
        <w:rPr>
          <w:rFonts w:ascii="Arial" w:hAnsi="Arial" w:cs="Arial"/>
          <w:sz w:val="23"/>
          <w:szCs w:val="23"/>
        </w:rPr>
        <w:t xml:space="preserve"> Edition National League of Philippine Government Nurses</w:t>
      </w:r>
    </w:p>
    <w:p w14:paraId="68275FE9" w14:textId="77777777" w:rsidR="00BF2DD2" w:rsidRDefault="00BF2DD2">
      <w:pPr>
        <w:rPr>
          <w:rFonts w:ascii="Arial" w:hAnsi="Arial" w:cs="Arial"/>
          <w:sz w:val="23"/>
          <w:szCs w:val="23"/>
        </w:rPr>
      </w:pPr>
    </w:p>
    <w:p w14:paraId="499749E2" w14:textId="77777777" w:rsidR="00BF2DD2" w:rsidRDefault="00CA65F6">
      <w:pPr>
        <w:widowControl w:val="0"/>
        <w:autoSpaceDE w:val="0"/>
        <w:autoSpaceDN w:val="0"/>
        <w:adjustRightInd w:val="0"/>
        <w:spacing w:line="276" w:lineRule="auto"/>
        <w:rPr>
          <w:rFonts w:ascii="Arial" w:hAnsi="Arial" w:cs="Arial"/>
          <w:color w:val="000000"/>
          <w:sz w:val="23"/>
          <w:szCs w:val="23"/>
        </w:rPr>
      </w:pPr>
      <w:r>
        <w:rPr>
          <w:rFonts w:ascii="Arial" w:hAnsi="Arial" w:cs="Arial"/>
          <w:noProof/>
          <w:color w:val="000000"/>
          <w:sz w:val="23"/>
          <w:szCs w:val="23"/>
        </w:rPr>
        <w:drawing>
          <wp:inline distT="0" distB="0" distL="0" distR="0" wp14:anchorId="71186CF8" wp14:editId="51196818">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14:paraId="4BFA2D94" w14:textId="77777777" w:rsidR="00BF2DD2" w:rsidRDefault="00CA65F6">
      <w:pPr>
        <w:spacing w:after="75" w:line="795" w:lineRule="atLeast"/>
        <w:textAlignment w:val="baseline"/>
        <w:outlineLvl w:val="0"/>
        <w:rPr>
          <w:rFonts w:ascii="Arial" w:eastAsia="Times New Roman" w:hAnsi="Arial" w:cs="Arial"/>
          <w:color w:val="424242"/>
          <w:kern w:val="36"/>
          <w:sz w:val="23"/>
          <w:szCs w:val="23"/>
        </w:rPr>
      </w:pPr>
      <w:r>
        <w:rPr>
          <w:rFonts w:ascii="Arial" w:eastAsia="Times New Roman" w:hAnsi="Arial" w:cs="Arial" w:hint="eastAsia"/>
          <w:color w:val="424242"/>
          <w:kern w:val="36"/>
          <w:sz w:val="23"/>
          <w:szCs w:val="23"/>
          <w:lang w:eastAsia="zh-CN" w:bidi="ar"/>
        </w:rPr>
        <w:t>Laws Affecting Public Health and Practice of CHN</w:t>
      </w:r>
    </w:p>
    <w:p w14:paraId="57B375BC"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7160 – or the Local Government Code</w:t>
      </w:r>
      <w:r>
        <w:rPr>
          <w:rFonts w:ascii="Arial" w:eastAsia="Times New Roman" w:hAnsi="Arial" w:cs="Arial"/>
          <w:color w:val="0C0C0C"/>
          <w:sz w:val="23"/>
          <w:szCs w:val="23"/>
          <w:shd w:val="clear" w:color="auto" w:fill="FFFFFF"/>
          <w:lang w:eastAsia="zh-CN" w:bidi="ar"/>
        </w:rPr>
        <w:br/>
      </w:r>
    </w:p>
    <w:p w14:paraId="1AB88783" w14:textId="77777777" w:rsidR="00BF2DD2" w:rsidRDefault="00CA65F6">
      <w:pPr>
        <w:numPr>
          <w:ilvl w:val="0"/>
          <w:numId w:val="3"/>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This involves the devolution of powers, functions and responsibilities to the local government both rural &amp; urban. The Code aims to transform local government units </w:t>
      </w:r>
      <w:r>
        <w:rPr>
          <w:rFonts w:ascii="Arial" w:eastAsia="Times New Roman" w:hAnsi="Arial" w:cs="Arial"/>
          <w:color w:val="212121"/>
          <w:sz w:val="23"/>
          <w:szCs w:val="23"/>
          <w:shd w:val="clear" w:color="auto" w:fill="FFFFFF"/>
          <w:lang w:eastAsia="zh-CN" w:bidi="ar"/>
        </w:rPr>
        <w:lastRenderedPageBreak/>
        <w:t xml:space="preserve">into self-reliant communities and active partners in the attainment of national goals thru’ a more responsive and accountable local government structure instituted thru’ a system of decentralization. Hence, each province, city and municipality </w:t>
      </w:r>
      <w:proofErr w:type="gramStart"/>
      <w:r>
        <w:rPr>
          <w:rFonts w:ascii="Arial" w:eastAsia="Times New Roman" w:hAnsi="Arial" w:cs="Arial"/>
          <w:color w:val="212121"/>
          <w:sz w:val="23"/>
          <w:szCs w:val="23"/>
          <w:shd w:val="clear" w:color="auto" w:fill="FFFFFF"/>
          <w:lang w:eastAsia="zh-CN" w:bidi="ar"/>
        </w:rPr>
        <w:t>has</w:t>
      </w:r>
      <w:proofErr w:type="gramEnd"/>
      <w:r>
        <w:rPr>
          <w:rFonts w:ascii="Arial" w:eastAsia="Times New Roman" w:hAnsi="Arial" w:cs="Arial"/>
          <w:color w:val="212121"/>
          <w:sz w:val="23"/>
          <w:szCs w:val="23"/>
          <w:shd w:val="clear" w:color="auto" w:fill="FFFFFF"/>
          <w:lang w:eastAsia="zh-CN" w:bidi="ar"/>
        </w:rPr>
        <w:t xml:space="preserve"> a LOCAL HEALTH BOARD (LHB) which is mandated to propose annual budgetary allocations for the operation and maintenance of their own health facilities.</w:t>
      </w:r>
    </w:p>
    <w:p w14:paraId="34337ABE" w14:textId="77777777" w:rsidR="00BF2DD2" w:rsidRDefault="00CA65F6">
      <w:pPr>
        <w:shd w:val="clear" w:color="auto" w:fill="FFFFFF"/>
        <w:spacing w:after="180" w:line="240" w:lineRule="auto"/>
        <w:jc w:val="both"/>
        <w:textAlignment w:val="baseline"/>
        <w:outlineLvl w:val="5"/>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Composition of LHB</w:t>
      </w:r>
    </w:p>
    <w:p w14:paraId="35F88FCF" w14:textId="77777777" w:rsidR="00BF2DD2" w:rsidRDefault="00CA65F6">
      <w:pPr>
        <w:shd w:val="clear" w:color="auto" w:fill="FFFFFF"/>
        <w:spacing w:after="180" w:line="240" w:lineRule="auto"/>
        <w:jc w:val="both"/>
        <w:textAlignment w:val="baseline"/>
        <w:outlineLvl w:val="5"/>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Provincial Level</w:t>
      </w:r>
    </w:p>
    <w:p w14:paraId="1BB1C84D" w14:textId="77777777" w:rsidR="00BF2DD2" w:rsidRDefault="00CA65F6">
      <w:pPr>
        <w:numPr>
          <w:ilvl w:val="0"/>
          <w:numId w:val="4"/>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Governor- chair</w:t>
      </w:r>
    </w:p>
    <w:p w14:paraId="0E5DEC1F" w14:textId="77777777" w:rsidR="00BF2DD2" w:rsidRDefault="00CA65F6">
      <w:pPr>
        <w:numPr>
          <w:ilvl w:val="0"/>
          <w:numId w:val="4"/>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Provincial Health Officer – vice chairman</w:t>
      </w:r>
    </w:p>
    <w:p w14:paraId="443812F0" w14:textId="77777777" w:rsidR="00BF2DD2" w:rsidRDefault="00CA65F6">
      <w:pPr>
        <w:numPr>
          <w:ilvl w:val="0"/>
          <w:numId w:val="4"/>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Chairman, Committee on Health of Sangguniang </w:t>
      </w:r>
      <w:proofErr w:type="spellStart"/>
      <w:r>
        <w:rPr>
          <w:rFonts w:ascii="Arial" w:eastAsia="Times New Roman" w:hAnsi="Arial" w:cs="Arial"/>
          <w:color w:val="212121"/>
          <w:sz w:val="23"/>
          <w:szCs w:val="23"/>
          <w:shd w:val="clear" w:color="auto" w:fill="FFFFFF"/>
          <w:lang w:eastAsia="zh-CN" w:bidi="ar"/>
        </w:rPr>
        <w:t>Panlalawigan</w:t>
      </w:r>
      <w:proofErr w:type="spellEnd"/>
    </w:p>
    <w:p w14:paraId="363B6B70" w14:textId="77777777" w:rsidR="00BF2DD2" w:rsidRDefault="00CA65F6">
      <w:pPr>
        <w:numPr>
          <w:ilvl w:val="0"/>
          <w:numId w:val="4"/>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DOH representative</w:t>
      </w:r>
    </w:p>
    <w:p w14:paraId="209570E5" w14:textId="77777777" w:rsidR="00BF2DD2" w:rsidRDefault="00CA65F6">
      <w:pPr>
        <w:numPr>
          <w:ilvl w:val="0"/>
          <w:numId w:val="4"/>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NGO representative</w:t>
      </w:r>
    </w:p>
    <w:p w14:paraId="2018C66D" w14:textId="77777777" w:rsidR="00BF2DD2" w:rsidRDefault="00CA65F6">
      <w:pPr>
        <w:shd w:val="clear" w:color="auto" w:fill="FFFFFF"/>
        <w:spacing w:after="180" w:line="240" w:lineRule="auto"/>
        <w:jc w:val="both"/>
        <w:textAlignment w:val="baseline"/>
        <w:outlineLvl w:val="5"/>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City and Municipal Level</w:t>
      </w:r>
    </w:p>
    <w:p w14:paraId="71811724" w14:textId="77777777" w:rsidR="00BF2DD2" w:rsidRDefault="00CA65F6">
      <w:pPr>
        <w:numPr>
          <w:ilvl w:val="0"/>
          <w:numId w:val="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Mayor – chair</w:t>
      </w:r>
    </w:p>
    <w:p w14:paraId="0061AE3A" w14:textId="77777777" w:rsidR="00BF2DD2" w:rsidRDefault="00CA65F6">
      <w:pPr>
        <w:numPr>
          <w:ilvl w:val="0"/>
          <w:numId w:val="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MHO – vice chair</w:t>
      </w:r>
    </w:p>
    <w:p w14:paraId="3E659B25" w14:textId="77777777" w:rsidR="00BF2DD2" w:rsidRDefault="00CA65F6">
      <w:pPr>
        <w:numPr>
          <w:ilvl w:val="0"/>
          <w:numId w:val="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Chairman, Committee on Health of Sangguniang Bayan</w:t>
      </w:r>
    </w:p>
    <w:p w14:paraId="5AFDBD7F" w14:textId="77777777" w:rsidR="00BF2DD2" w:rsidRDefault="00CA65F6">
      <w:pPr>
        <w:numPr>
          <w:ilvl w:val="0"/>
          <w:numId w:val="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DOH representative</w:t>
      </w:r>
    </w:p>
    <w:p w14:paraId="535B9E4E" w14:textId="77777777" w:rsidR="00BF2DD2" w:rsidRDefault="00CA65F6">
      <w:pPr>
        <w:numPr>
          <w:ilvl w:val="0"/>
          <w:numId w:val="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NGO representative</w:t>
      </w:r>
    </w:p>
    <w:p w14:paraId="7CD5091F" w14:textId="77777777" w:rsidR="00BF2DD2" w:rsidRDefault="00CA65F6">
      <w:pPr>
        <w:shd w:val="clear" w:color="auto" w:fill="FFFFFF"/>
        <w:spacing w:after="180" w:line="240" w:lineRule="auto"/>
        <w:jc w:val="both"/>
        <w:textAlignment w:val="baseline"/>
        <w:outlineLvl w:val="5"/>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Effective Local Health System Depends on:</w:t>
      </w:r>
    </w:p>
    <w:p w14:paraId="13CBF4F5" w14:textId="77777777" w:rsidR="00BF2DD2" w:rsidRDefault="00CA65F6">
      <w:pPr>
        <w:numPr>
          <w:ilvl w:val="0"/>
          <w:numId w:val="6"/>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The LGU’s financial capability</w:t>
      </w:r>
    </w:p>
    <w:p w14:paraId="128116E0" w14:textId="77777777" w:rsidR="00BF2DD2" w:rsidRDefault="00CA65F6">
      <w:pPr>
        <w:numPr>
          <w:ilvl w:val="0"/>
          <w:numId w:val="6"/>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A dynamic and responsive political leadership</w:t>
      </w:r>
    </w:p>
    <w:p w14:paraId="7D5747DE" w14:textId="77777777" w:rsidR="00BF2DD2" w:rsidRDefault="00CA65F6">
      <w:pPr>
        <w:numPr>
          <w:ilvl w:val="0"/>
          <w:numId w:val="6"/>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Community empowerment</w:t>
      </w:r>
    </w:p>
    <w:p w14:paraId="186D0E34"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2AC6B2CA"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2382 – Philippine Medical Act.</w:t>
      </w:r>
    </w:p>
    <w:p w14:paraId="23C5B751" w14:textId="77777777" w:rsidR="00BF2DD2" w:rsidRDefault="00CA65F6">
      <w:pPr>
        <w:numPr>
          <w:ilvl w:val="0"/>
          <w:numId w:val="7"/>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This act defines the practice of medicine in the country.</w:t>
      </w:r>
    </w:p>
    <w:p w14:paraId="73166049"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3C78C3C3"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1082 – Rural Health Act.</w:t>
      </w:r>
    </w:p>
    <w:p w14:paraId="7FFAD166" w14:textId="77777777" w:rsidR="00BF2DD2" w:rsidRDefault="00CA65F6">
      <w:pPr>
        <w:numPr>
          <w:ilvl w:val="0"/>
          <w:numId w:val="8"/>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It created the 1st 81 Rural Health Units.</w:t>
      </w:r>
    </w:p>
    <w:p w14:paraId="544033C9" w14:textId="77777777" w:rsidR="00BF2DD2" w:rsidRDefault="00CA65F6">
      <w:pPr>
        <w:numPr>
          <w:ilvl w:val="0"/>
          <w:numId w:val="8"/>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amended by RA 1891; more physicians, dentists, nurses, midwives and sanitary inspectors will live in the rural areas where they are assigned in order to raise the health conditions of barrio </w:t>
      </w:r>
      <w:proofErr w:type="gramStart"/>
      <w:r>
        <w:rPr>
          <w:rFonts w:ascii="Arial" w:eastAsia="Times New Roman" w:hAnsi="Arial" w:cs="Arial"/>
          <w:color w:val="212121"/>
          <w:sz w:val="23"/>
          <w:szCs w:val="23"/>
          <w:shd w:val="clear" w:color="auto" w:fill="FFFFFF"/>
          <w:lang w:eastAsia="zh-CN" w:bidi="ar"/>
        </w:rPr>
        <w:t>people ,hence</w:t>
      </w:r>
      <w:proofErr w:type="gramEnd"/>
      <w:r>
        <w:rPr>
          <w:rFonts w:ascii="Arial" w:eastAsia="Times New Roman" w:hAnsi="Arial" w:cs="Arial"/>
          <w:color w:val="212121"/>
          <w:sz w:val="23"/>
          <w:szCs w:val="23"/>
          <w:shd w:val="clear" w:color="auto" w:fill="FFFFFF"/>
          <w:lang w:eastAsia="zh-CN" w:bidi="ar"/>
        </w:rPr>
        <w:t xml:space="preserve"> help decrease the high incidence of preventable diseases</w:t>
      </w:r>
    </w:p>
    <w:p w14:paraId="3E0F7811"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727DFA0A"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6425 – Dangerous Drugs Act</w:t>
      </w:r>
    </w:p>
    <w:p w14:paraId="65EE57FA" w14:textId="77777777" w:rsidR="00BF2DD2" w:rsidRDefault="00CA65F6">
      <w:pPr>
        <w:numPr>
          <w:ilvl w:val="0"/>
          <w:numId w:val="9"/>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It stipulates that the sale, administration, delivery, distribution and transportation of prohibited drugs is punishable by law.</w:t>
      </w:r>
    </w:p>
    <w:p w14:paraId="03B205E3"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5F9896CD" w14:textId="77777777" w:rsidR="00BF2DD2" w:rsidRDefault="00CA65F6">
      <w:pPr>
        <w:numPr>
          <w:ilvl w:val="0"/>
          <w:numId w:val="10"/>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Times New Roman" w:hAnsi="Arial" w:cs="Arial"/>
          <w:color w:val="0C0C0C"/>
          <w:sz w:val="23"/>
          <w:szCs w:val="23"/>
          <w:shd w:val="clear" w:color="auto" w:fill="FFFFFF"/>
          <w:lang w:eastAsia="zh-CN" w:bidi="ar"/>
        </w:rPr>
        <w:t>A. 9165 – the new Dangerous Drug Act of 2002</w:t>
      </w:r>
    </w:p>
    <w:p w14:paraId="7BDE1F4B" w14:textId="77777777" w:rsidR="00BF2DD2" w:rsidRDefault="00CA65F6">
      <w:pPr>
        <w:numPr>
          <w:ilvl w:val="0"/>
          <w:numId w:val="11"/>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sans-serif" w:hAnsi="Arial" w:cs="Arial"/>
          <w:color w:val="202122"/>
          <w:sz w:val="23"/>
          <w:szCs w:val="23"/>
          <w:shd w:val="clear" w:color="auto" w:fill="FFFFFF"/>
        </w:rPr>
        <w:t>This Act repealed Republic Act No. 6425, otherwise known as the Dangerous Drugs Act of 1972, as amended, and providing funds for its implementation. Under this Act, the Dangerous Drugs Board (DDB) remains as the policy-making and strategy-formulating body in planning and formulation of policies and program on drug prevention and control.</w:t>
      </w:r>
    </w:p>
    <w:p w14:paraId="136384DF"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P.D. No. 651</w:t>
      </w:r>
    </w:p>
    <w:p w14:paraId="6BED25F7" w14:textId="77777777" w:rsidR="00BF2DD2" w:rsidRDefault="00CA65F6">
      <w:pPr>
        <w:numPr>
          <w:ilvl w:val="0"/>
          <w:numId w:val="12"/>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lastRenderedPageBreak/>
        <w:t>Requires that all health workers shall identify and encourage the registration of all births within 30 days following delivery.</w:t>
      </w:r>
    </w:p>
    <w:p w14:paraId="03D67576"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5564E5BD"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P.D. No. 996</w:t>
      </w:r>
    </w:p>
    <w:p w14:paraId="1ACE7481" w14:textId="77777777" w:rsidR="00BF2DD2" w:rsidRDefault="00CA65F6">
      <w:pPr>
        <w:numPr>
          <w:ilvl w:val="0"/>
          <w:numId w:val="13"/>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Requires the compulsory immunization of all children below 8 yrs. of age against the 6 childhood </w:t>
      </w:r>
      <w:proofErr w:type="spellStart"/>
      <w:r>
        <w:rPr>
          <w:rFonts w:ascii="Arial" w:eastAsia="Times New Roman" w:hAnsi="Arial" w:cs="Arial"/>
          <w:color w:val="212121"/>
          <w:sz w:val="23"/>
          <w:szCs w:val="23"/>
          <w:shd w:val="clear" w:color="auto" w:fill="FFFFFF"/>
          <w:lang w:eastAsia="zh-CN" w:bidi="ar"/>
        </w:rPr>
        <w:t>immunizable</w:t>
      </w:r>
      <w:proofErr w:type="spellEnd"/>
      <w:r>
        <w:rPr>
          <w:rFonts w:ascii="Arial" w:eastAsia="Times New Roman" w:hAnsi="Arial" w:cs="Arial"/>
          <w:color w:val="212121"/>
          <w:sz w:val="23"/>
          <w:szCs w:val="23"/>
          <w:shd w:val="clear" w:color="auto" w:fill="FFFFFF"/>
          <w:lang w:eastAsia="zh-CN" w:bidi="ar"/>
        </w:rPr>
        <w:t xml:space="preserve"> diseases.</w:t>
      </w:r>
    </w:p>
    <w:p w14:paraId="7D584177"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3DD472CF"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P.D. No. 825</w:t>
      </w:r>
    </w:p>
    <w:p w14:paraId="1A453D5A" w14:textId="77777777" w:rsidR="00BF2DD2" w:rsidRDefault="00CA65F6">
      <w:pPr>
        <w:numPr>
          <w:ilvl w:val="0"/>
          <w:numId w:val="14"/>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Provides penalty for improper disposal of garbage.</w:t>
      </w:r>
    </w:p>
    <w:p w14:paraId="6D4F6A7A"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1AB4C0C9" w14:textId="77777777" w:rsidR="00BF2DD2" w:rsidRDefault="00CA65F6">
      <w:pPr>
        <w:numPr>
          <w:ilvl w:val="0"/>
          <w:numId w:val="10"/>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Times New Roman" w:hAnsi="Arial" w:cs="Arial"/>
          <w:color w:val="0C0C0C"/>
          <w:sz w:val="23"/>
          <w:szCs w:val="23"/>
          <w:shd w:val="clear" w:color="auto" w:fill="FFFFFF"/>
          <w:lang w:eastAsia="zh-CN" w:bidi="ar"/>
        </w:rPr>
        <w:t>A. 8749 – Clean Air Act of 2000</w:t>
      </w:r>
    </w:p>
    <w:p w14:paraId="2354993E" w14:textId="77777777" w:rsidR="00BF2DD2" w:rsidRDefault="00CA65F6">
      <w:pPr>
        <w:numPr>
          <w:ilvl w:val="0"/>
          <w:numId w:val="15"/>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SimSun" w:hAnsi="Arial" w:cs="Arial"/>
          <w:color w:val="222222"/>
          <w:sz w:val="23"/>
          <w:szCs w:val="23"/>
          <w:shd w:val="clear" w:color="auto" w:fill="FFFFFF"/>
        </w:rPr>
        <w:t>a comprehensive air quality management policy and program which aims to achieve and maintain healthy air for all Filipinos. </w:t>
      </w:r>
    </w:p>
    <w:p w14:paraId="7F87982A"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P.D. No. 856 – Code on Sanitation</w:t>
      </w:r>
    </w:p>
    <w:p w14:paraId="0FE58FC0" w14:textId="77777777" w:rsidR="00BF2DD2" w:rsidRDefault="00CA65F6">
      <w:pPr>
        <w:numPr>
          <w:ilvl w:val="0"/>
          <w:numId w:val="16"/>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It provides for the control of all factors in man’s environment that affect health including the quality of water, food, milk, insects, animal carriers, transmitters of disease, sanitary and recreation facilities, noise, pollution and control of nuisance</w:t>
      </w:r>
    </w:p>
    <w:p w14:paraId="74C88267"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4B3F9876"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6758</w:t>
      </w:r>
    </w:p>
    <w:p w14:paraId="61C8C833" w14:textId="77777777" w:rsidR="00BF2DD2" w:rsidRDefault="00CA65F6">
      <w:pPr>
        <w:numPr>
          <w:ilvl w:val="0"/>
          <w:numId w:val="17"/>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Standardizes the salary of government employees including the nursing personnel.</w:t>
      </w:r>
    </w:p>
    <w:p w14:paraId="6EB5247E"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3645D90E"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6675 – Generics Act of 1988</w:t>
      </w:r>
    </w:p>
    <w:p w14:paraId="30A4BB7D" w14:textId="77777777" w:rsidR="00BF2DD2" w:rsidRDefault="00CA65F6">
      <w:pPr>
        <w:numPr>
          <w:ilvl w:val="0"/>
          <w:numId w:val="18"/>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Which promotes, requires and ensures the production of an adequate supply, distribution, use and acceptance of drugs and medicines identified by their generic name.</w:t>
      </w:r>
    </w:p>
    <w:p w14:paraId="3AB9763D"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77F9D51A"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6713 – Code of Conduct and Ethical Standards of Public Officials and Employees</w:t>
      </w:r>
    </w:p>
    <w:p w14:paraId="46714992" w14:textId="77777777" w:rsidR="00BF2DD2" w:rsidRDefault="00CA65F6">
      <w:pPr>
        <w:numPr>
          <w:ilvl w:val="0"/>
          <w:numId w:val="19"/>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It is the policy of the state to promote high standards of ethics in public office. Public officials and employees shall at all times be accountable to the people and shall discharges their duties with utmost responsibility, integrity, competence and loyalty, act with patriotism and justice, lead modest lives uphold public interest over personal interest.</w:t>
      </w:r>
      <w:r>
        <w:rPr>
          <w:rFonts w:ascii="Arial" w:eastAsia="Times New Roman" w:hAnsi="Arial" w:cs="Arial"/>
          <w:color w:val="212121"/>
          <w:sz w:val="23"/>
          <w:szCs w:val="23"/>
          <w:shd w:val="clear" w:color="auto" w:fill="FFFFFF"/>
          <w:lang w:eastAsia="zh-CN" w:bidi="ar"/>
        </w:rPr>
        <w:br/>
      </w:r>
    </w:p>
    <w:p w14:paraId="03203B16"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7305 – Magna Carta for Public Health Workers</w:t>
      </w:r>
    </w:p>
    <w:p w14:paraId="068774B1" w14:textId="77777777" w:rsidR="00BF2DD2" w:rsidRDefault="00CA65F6">
      <w:pPr>
        <w:numPr>
          <w:ilvl w:val="0"/>
          <w:numId w:val="20"/>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This act aims: to promote and improve the social and economic well-being of health workers, their living and working conditions and terms of employment; to develop their skills and capabilities in order that they will be more responsive and better equipped to deliver health projects and programs; and to encourage those with proper qualifications and excellent abilities to join and remain in government service.</w:t>
      </w:r>
    </w:p>
    <w:p w14:paraId="15945889"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77154D02"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8423</w:t>
      </w:r>
    </w:p>
    <w:p w14:paraId="0738411A" w14:textId="77777777" w:rsidR="00BF2DD2" w:rsidRDefault="00CA65F6">
      <w:pPr>
        <w:numPr>
          <w:ilvl w:val="0"/>
          <w:numId w:val="21"/>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Created the Philippine Institute of Traditional and Alternative Health Care.</w:t>
      </w:r>
    </w:p>
    <w:p w14:paraId="14262597"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167CCC9A"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P.D. No. 965</w:t>
      </w:r>
    </w:p>
    <w:p w14:paraId="4CC1F301" w14:textId="77777777" w:rsidR="00BF2DD2" w:rsidRDefault="00CA65F6">
      <w:pPr>
        <w:numPr>
          <w:ilvl w:val="0"/>
          <w:numId w:val="22"/>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Requires applicants for marriage license to receive instructions on family planning and responsible parenthood.</w:t>
      </w:r>
    </w:p>
    <w:p w14:paraId="47945D02"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21C0E1EE"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lastRenderedPageBreak/>
        <w:t>P.D. NO. 79</w:t>
      </w:r>
    </w:p>
    <w:p w14:paraId="7FA836E2" w14:textId="77777777" w:rsidR="00BF2DD2" w:rsidRDefault="00CA65F6">
      <w:pPr>
        <w:numPr>
          <w:ilvl w:val="0"/>
          <w:numId w:val="23"/>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Defines, objectives, duties and functions of POPCOM</w:t>
      </w:r>
    </w:p>
    <w:p w14:paraId="734E6A9E" w14:textId="77777777" w:rsidR="00BF2DD2" w:rsidRDefault="00BF2DD2">
      <w:pPr>
        <w:shd w:val="clear" w:color="auto" w:fill="FFFFFF"/>
        <w:spacing w:after="0" w:line="240" w:lineRule="auto"/>
        <w:jc w:val="both"/>
        <w:textAlignment w:val="baseline"/>
        <w:rPr>
          <w:rFonts w:ascii="Arial" w:eastAsia="Times New Roman" w:hAnsi="Arial" w:cs="Arial"/>
          <w:color w:val="212121"/>
          <w:sz w:val="23"/>
          <w:szCs w:val="23"/>
          <w:shd w:val="clear" w:color="auto" w:fill="FFFFFF"/>
        </w:rPr>
      </w:pPr>
    </w:p>
    <w:p w14:paraId="225D2C9B"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4073</w:t>
      </w:r>
    </w:p>
    <w:p w14:paraId="6B84FDDD" w14:textId="77777777" w:rsidR="00BF2DD2" w:rsidRDefault="00CA65F6">
      <w:pPr>
        <w:numPr>
          <w:ilvl w:val="0"/>
          <w:numId w:val="24"/>
        </w:numPr>
        <w:shd w:val="clear" w:color="auto" w:fill="FFFFFF"/>
        <w:spacing w:after="0" w:line="240" w:lineRule="auto"/>
        <w:ind w:left="456"/>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advocates home treatment for leprosy</w:t>
      </w:r>
    </w:p>
    <w:p w14:paraId="680BF308" w14:textId="77777777" w:rsidR="00BF2DD2" w:rsidRDefault="00BF2DD2">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p>
    <w:p w14:paraId="2D775B8A"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Letter of Instruction No. 949</w:t>
      </w:r>
    </w:p>
    <w:p w14:paraId="56FF8A9C" w14:textId="77777777" w:rsidR="00BF2DD2" w:rsidRDefault="00CA65F6">
      <w:pPr>
        <w:numPr>
          <w:ilvl w:val="0"/>
          <w:numId w:val="2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legal basis of PHC dated OCT. 19, 1979</w:t>
      </w:r>
    </w:p>
    <w:p w14:paraId="24755578" w14:textId="77777777" w:rsidR="00BF2DD2" w:rsidRDefault="00CA65F6">
      <w:pPr>
        <w:numPr>
          <w:ilvl w:val="0"/>
          <w:numId w:val="2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promotes development of health programs on the community level</w:t>
      </w:r>
    </w:p>
    <w:p w14:paraId="445CAB6B" w14:textId="77777777" w:rsidR="00BF2DD2" w:rsidRDefault="00BF2DD2">
      <w:pPr>
        <w:shd w:val="clear" w:color="auto" w:fill="FFFFFF"/>
        <w:spacing w:after="0" w:line="240" w:lineRule="auto"/>
        <w:ind w:left="456"/>
        <w:textAlignment w:val="baseline"/>
        <w:rPr>
          <w:rFonts w:ascii="Arial" w:eastAsia="Times New Roman" w:hAnsi="Arial" w:cs="Arial"/>
          <w:color w:val="212121"/>
          <w:sz w:val="23"/>
          <w:szCs w:val="23"/>
          <w:shd w:val="clear" w:color="auto" w:fill="FFFFFF"/>
        </w:rPr>
      </w:pPr>
    </w:p>
    <w:p w14:paraId="32290502"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3573</w:t>
      </w:r>
    </w:p>
    <w:p w14:paraId="6AB1EF19" w14:textId="77777777" w:rsidR="00BF2DD2" w:rsidRDefault="00CA65F6">
      <w:pPr>
        <w:numPr>
          <w:ilvl w:val="0"/>
          <w:numId w:val="26"/>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requires reporting of all cases of communicable diseases and administration of prophylaxis</w:t>
      </w:r>
    </w:p>
    <w:p w14:paraId="472E75F6"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5C703D13" w14:textId="77777777" w:rsidR="00BF2DD2" w:rsidRDefault="00CA65F6">
      <w:pPr>
        <w:shd w:val="clear" w:color="auto" w:fill="FFFFFF"/>
        <w:spacing w:after="0" w:line="240" w:lineRule="auto"/>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Ministry Circular No. 2 of 1986</w:t>
      </w:r>
    </w:p>
    <w:p w14:paraId="58E3F285" w14:textId="77777777" w:rsidR="00BF2DD2" w:rsidRDefault="00CA65F6">
      <w:pPr>
        <w:numPr>
          <w:ilvl w:val="0"/>
          <w:numId w:val="27"/>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includes AIDS as notifiable disease</w:t>
      </w:r>
    </w:p>
    <w:p w14:paraId="3BDBB261"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765719D0" w14:textId="77777777" w:rsidR="00BF2DD2" w:rsidRDefault="00CA65F6">
      <w:pPr>
        <w:numPr>
          <w:ilvl w:val="0"/>
          <w:numId w:val="28"/>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Times New Roman" w:hAnsi="Arial" w:cs="Arial"/>
          <w:color w:val="0C0C0C"/>
          <w:sz w:val="23"/>
          <w:szCs w:val="23"/>
          <w:shd w:val="clear" w:color="auto" w:fill="FFFFFF"/>
          <w:lang w:eastAsia="zh-CN" w:bidi="ar"/>
        </w:rPr>
        <w:t>A. 7875 – National Health Insurance Act</w:t>
      </w:r>
    </w:p>
    <w:p w14:paraId="068633F5" w14:textId="77777777" w:rsidR="00BF2DD2" w:rsidRDefault="00CA65F6">
      <w:pPr>
        <w:numPr>
          <w:ilvl w:val="0"/>
          <w:numId w:val="29"/>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SimSun" w:hAnsi="Arial" w:cs="Arial"/>
          <w:color w:val="222222"/>
          <w:sz w:val="23"/>
          <w:szCs w:val="23"/>
          <w:shd w:val="clear" w:color="auto" w:fill="FFFFFF"/>
        </w:rPr>
        <w:t xml:space="preserve">An act instituting a national health insurance program for all </w:t>
      </w:r>
      <w:proofErr w:type="spellStart"/>
      <w:r>
        <w:rPr>
          <w:rFonts w:ascii="Arial" w:eastAsia="SimSun" w:hAnsi="Arial" w:cs="Arial"/>
          <w:color w:val="222222"/>
          <w:sz w:val="23"/>
          <w:szCs w:val="23"/>
          <w:shd w:val="clear" w:color="auto" w:fill="FFFFFF"/>
        </w:rPr>
        <w:t>filipinos</w:t>
      </w:r>
      <w:proofErr w:type="spellEnd"/>
      <w:r>
        <w:rPr>
          <w:rFonts w:ascii="Arial" w:eastAsia="SimSun" w:hAnsi="Arial" w:cs="Arial"/>
          <w:color w:val="222222"/>
          <w:sz w:val="23"/>
          <w:szCs w:val="23"/>
          <w:shd w:val="clear" w:color="auto" w:fill="FFFFFF"/>
        </w:rPr>
        <w:t xml:space="preserve"> and establishing the Philippine Health Insurance Corporation for the purpose</w:t>
      </w:r>
    </w:p>
    <w:p w14:paraId="6583E6FD" w14:textId="77777777" w:rsidR="00BF2DD2" w:rsidRDefault="00CA65F6">
      <w:p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Times New Roman" w:hAnsi="Arial" w:cs="Arial"/>
          <w:color w:val="0C0C0C"/>
          <w:sz w:val="23"/>
          <w:szCs w:val="23"/>
          <w:shd w:val="clear" w:color="auto" w:fill="FFFFFF"/>
          <w:lang w:eastAsia="zh-CN" w:bidi="ar"/>
        </w:rPr>
        <w:t>R.A. 7432 – Senior Citizens Act</w:t>
      </w:r>
    </w:p>
    <w:p w14:paraId="10415F77" w14:textId="77777777" w:rsidR="00BF2DD2" w:rsidRDefault="00CA65F6">
      <w:pPr>
        <w:numPr>
          <w:ilvl w:val="0"/>
          <w:numId w:val="29"/>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SimSun" w:hAnsi="Arial" w:cs="Arial"/>
          <w:color w:val="222222"/>
          <w:sz w:val="23"/>
          <w:szCs w:val="23"/>
          <w:shd w:val="clear" w:color="auto" w:fill="FFFFFF"/>
        </w:rPr>
        <w:t>AN ACT TO MAXIMIZE THE CONTRIBUTION OF SENIOR CITIZENS TO NATION BUILDING, GRANT BENEFITS AND SPECIAL PRIVILEGES AND FOR OTHER PURPOSES</w:t>
      </w:r>
    </w:p>
    <w:p w14:paraId="36F80CC2" w14:textId="77777777" w:rsidR="00BF2DD2" w:rsidRDefault="00CA65F6">
      <w:p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Times New Roman" w:hAnsi="Arial" w:cs="Arial"/>
          <w:color w:val="0C0C0C"/>
          <w:sz w:val="23"/>
          <w:szCs w:val="23"/>
          <w:shd w:val="clear" w:color="auto" w:fill="FFFFFF"/>
          <w:lang w:eastAsia="zh-CN" w:bidi="ar"/>
        </w:rPr>
        <w:t>R.A. 7719 – National Blood Services Act</w:t>
      </w:r>
    </w:p>
    <w:p w14:paraId="650E2E9D" w14:textId="77777777" w:rsidR="00BF2DD2" w:rsidRDefault="00CA65F6">
      <w:pPr>
        <w:numPr>
          <w:ilvl w:val="0"/>
          <w:numId w:val="29"/>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SimSun" w:hAnsi="Arial" w:cs="Arial"/>
          <w:color w:val="222222"/>
          <w:sz w:val="23"/>
          <w:szCs w:val="23"/>
          <w:shd w:val="clear" w:color="auto" w:fill="FFFFFF"/>
        </w:rPr>
        <w:t>promotes voluntary blood donation to provide sufficient supply of safe blood and to regulate blood banks. This act aims to inculcate public awareness that blood donation is a humanitarian act</w:t>
      </w:r>
    </w:p>
    <w:p w14:paraId="6C1F2974" w14:textId="77777777" w:rsidR="00BF2DD2" w:rsidRDefault="00CA65F6">
      <w:p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Times New Roman" w:hAnsi="Arial" w:cs="Arial"/>
          <w:color w:val="0C0C0C"/>
          <w:sz w:val="23"/>
          <w:szCs w:val="23"/>
          <w:shd w:val="clear" w:color="auto" w:fill="FFFFFF"/>
          <w:lang w:eastAsia="zh-CN" w:bidi="ar"/>
        </w:rPr>
        <w:t>R.A. 8172 – Salt Iodization Act (ASIN LAW)</w:t>
      </w:r>
    </w:p>
    <w:p w14:paraId="028640FA" w14:textId="77777777" w:rsidR="00BF2DD2" w:rsidRDefault="00CA65F6">
      <w:pPr>
        <w:numPr>
          <w:ilvl w:val="0"/>
          <w:numId w:val="29"/>
        </w:num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r>
        <w:rPr>
          <w:rFonts w:ascii="Arial" w:eastAsia="SimSun" w:hAnsi="Arial" w:cs="Arial"/>
          <w:color w:val="222222"/>
          <w:sz w:val="23"/>
          <w:szCs w:val="23"/>
          <w:shd w:val="clear" w:color="auto" w:fill="FFFFFF"/>
        </w:rPr>
        <w:t>This Act requires the addition of iodine to all salt intended for animal and human consumption in order to eliminate micronutrient malnutrition in the country.</w:t>
      </w:r>
    </w:p>
    <w:p w14:paraId="737777C8"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7277- Magna Carta for PWD’s</w:t>
      </w:r>
    </w:p>
    <w:p w14:paraId="493B2001" w14:textId="77777777" w:rsidR="00BF2DD2" w:rsidRDefault="00CA65F6">
      <w:pPr>
        <w:numPr>
          <w:ilvl w:val="0"/>
          <w:numId w:val="30"/>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provides their rehabilitation, </w:t>
      </w:r>
      <w:proofErr w:type="spellStart"/>
      <w:r>
        <w:rPr>
          <w:rFonts w:ascii="Arial" w:eastAsia="Times New Roman" w:hAnsi="Arial" w:cs="Arial"/>
          <w:color w:val="212121"/>
          <w:sz w:val="23"/>
          <w:szCs w:val="23"/>
          <w:shd w:val="clear" w:color="auto" w:fill="FFFFFF"/>
          <w:lang w:eastAsia="zh-CN" w:bidi="ar"/>
        </w:rPr>
        <w:t>self development</w:t>
      </w:r>
      <w:proofErr w:type="spellEnd"/>
      <w:r>
        <w:rPr>
          <w:rFonts w:ascii="Arial" w:eastAsia="Times New Roman" w:hAnsi="Arial" w:cs="Arial"/>
          <w:color w:val="212121"/>
          <w:sz w:val="23"/>
          <w:szCs w:val="23"/>
          <w:shd w:val="clear" w:color="auto" w:fill="FFFFFF"/>
          <w:lang w:eastAsia="zh-CN" w:bidi="ar"/>
        </w:rPr>
        <w:t xml:space="preserve"> and self-reliance and integration into the mainstream of society</w:t>
      </w:r>
    </w:p>
    <w:p w14:paraId="7C47A9F1"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644F6BC0"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A. O. No. 2005-0014- National Policies on Infant and Young Child Feeding:</w:t>
      </w:r>
    </w:p>
    <w:p w14:paraId="55E57F7D" w14:textId="77777777" w:rsidR="00BF2DD2" w:rsidRDefault="00CA65F6">
      <w:pPr>
        <w:numPr>
          <w:ilvl w:val="0"/>
          <w:numId w:val="31"/>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All newborns </w:t>
      </w:r>
      <w:proofErr w:type="gramStart"/>
      <w:r>
        <w:rPr>
          <w:rFonts w:ascii="Arial" w:eastAsia="Times New Roman" w:hAnsi="Arial" w:cs="Arial"/>
          <w:color w:val="212121"/>
          <w:sz w:val="23"/>
          <w:szCs w:val="23"/>
          <w:shd w:val="clear" w:color="auto" w:fill="FFFFFF"/>
          <w:lang w:eastAsia="zh-CN" w:bidi="ar"/>
        </w:rPr>
        <w:t>be</w:t>
      </w:r>
      <w:proofErr w:type="gramEnd"/>
      <w:r>
        <w:rPr>
          <w:rFonts w:ascii="Arial" w:eastAsia="Times New Roman" w:hAnsi="Arial" w:cs="Arial"/>
          <w:color w:val="212121"/>
          <w:sz w:val="23"/>
          <w:szCs w:val="23"/>
          <w:shd w:val="clear" w:color="auto" w:fill="FFFFFF"/>
          <w:lang w:eastAsia="zh-CN" w:bidi="ar"/>
        </w:rPr>
        <w:t xml:space="preserve"> breastfeed within 1 </w:t>
      </w:r>
      <w:proofErr w:type="spellStart"/>
      <w:r>
        <w:rPr>
          <w:rFonts w:ascii="Arial" w:eastAsia="Times New Roman" w:hAnsi="Arial" w:cs="Arial"/>
          <w:color w:val="212121"/>
          <w:sz w:val="23"/>
          <w:szCs w:val="23"/>
          <w:shd w:val="clear" w:color="auto" w:fill="FFFFFF"/>
          <w:lang w:eastAsia="zh-CN" w:bidi="ar"/>
        </w:rPr>
        <w:t>hr</w:t>
      </w:r>
      <w:proofErr w:type="spellEnd"/>
      <w:r>
        <w:rPr>
          <w:rFonts w:ascii="Arial" w:eastAsia="Times New Roman" w:hAnsi="Arial" w:cs="Arial"/>
          <w:color w:val="212121"/>
          <w:sz w:val="23"/>
          <w:szCs w:val="23"/>
          <w:shd w:val="clear" w:color="auto" w:fill="FFFFFF"/>
          <w:lang w:eastAsia="zh-CN" w:bidi="ar"/>
        </w:rPr>
        <w:t xml:space="preserve"> after birth</w:t>
      </w:r>
    </w:p>
    <w:p w14:paraId="6058B6F9" w14:textId="77777777" w:rsidR="00BF2DD2" w:rsidRDefault="00CA65F6">
      <w:pPr>
        <w:numPr>
          <w:ilvl w:val="0"/>
          <w:numId w:val="31"/>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Infants be exclusively </w:t>
      </w:r>
      <w:proofErr w:type="gramStart"/>
      <w:r>
        <w:rPr>
          <w:rFonts w:ascii="Arial" w:eastAsia="Times New Roman" w:hAnsi="Arial" w:cs="Arial"/>
          <w:color w:val="212121"/>
          <w:sz w:val="23"/>
          <w:szCs w:val="23"/>
          <w:shd w:val="clear" w:color="auto" w:fill="FFFFFF"/>
          <w:lang w:eastAsia="zh-CN" w:bidi="ar"/>
        </w:rPr>
        <w:t>breastfeed</w:t>
      </w:r>
      <w:proofErr w:type="gramEnd"/>
      <w:r>
        <w:rPr>
          <w:rFonts w:ascii="Arial" w:eastAsia="Times New Roman" w:hAnsi="Arial" w:cs="Arial"/>
          <w:color w:val="212121"/>
          <w:sz w:val="23"/>
          <w:szCs w:val="23"/>
          <w:shd w:val="clear" w:color="auto" w:fill="FFFFFF"/>
          <w:lang w:eastAsia="zh-CN" w:bidi="ar"/>
        </w:rPr>
        <w:t xml:space="preserve"> for 6 months.</w:t>
      </w:r>
    </w:p>
    <w:p w14:paraId="4670631F" w14:textId="77777777" w:rsidR="00BF2DD2" w:rsidRDefault="00CA65F6">
      <w:pPr>
        <w:numPr>
          <w:ilvl w:val="0"/>
          <w:numId w:val="31"/>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Infants be given timely, adequate and safe complementary foods</w:t>
      </w:r>
    </w:p>
    <w:p w14:paraId="60976EFB" w14:textId="77777777" w:rsidR="00BF2DD2" w:rsidRDefault="00CA65F6">
      <w:pPr>
        <w:numPr>
          <w:ilvl w:val="0"/>
          <w:numId w:val="31"/>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Breastfeeding be continued up to 2 years and beyond</w:t>
      </w:r>
    </w:p>
    <w:p w14:paraId="2C898168"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32362DAD" w14:textId="77777777" w:rsidR="00BF2DD2" w:rsidRDefault="00BF2DD2">
      <w:p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p>
    <w:p w14:paraId="638316D8" w14:textId="77777777" w:rsidR="00BF2DD2" w:rsidRDefault="00BF2DD2">
      <w:pPr>
        <w:shd w:val="clear" w:color="auto" w:fill="FFFFFF"/>
        <w:spacing w:after="180" w:line="240" w:lineRule="auto"/>
        <w:jc w:val="both"/>
        <w:textAlignment w:val="baseline"/>
        <w:outlineLvl w:val="4"/>
        <w:rPr>
          <w:rFonts w:ascii="Arial" w:eastAsia="Times New Roman" w:hAnsi="Arial" w:cs="Arial"/>
          <w:color w:val="0C0C0C"/>
          <w:sz w:val="23"/>
          <w:szCs w:val="23"/>
          <w:shd w:val="clear" w:color="auto" w:fill="FFFFFF"/>
          <w:lang w:eastAsia="zh-CN" w:bidi="ar"/>
        </w:rPr>
      </w:pPr>
    </w:p>
    <w:p w14:paraId="371043DF" w14:textId="77777777" w:rsidR="00BF2DD2" w:rsidRDefault="00CA65F6">
      <w:pPr>
        <w:shd w:val="clear" w:color="auto" w:fill="FFFFFF"/>
        <w:spacing w:after="180" w:line="240" w:lineRule="auto"/>
        <w:jc w:val="both"/>
        <w:textAlignment w:val="baseline"/>
        <w:outlineLvl w:val="4"/>
        <w:rPr>
          <w:rFonts w:ascii="Arial" w:eastAsia="Times New Roman" w:hAnsi="Arial" w:cs="Arial"/>
          <w:sz w:val="23"/>
          <w:szCs w:val="23"/>
          <w:shd w:val="clear" w:color="auto" w:fill="FFFFFF"/>
          <w:lang w:eastAsia="zh-CN" w:bidi="ar"/>
        </w:rPr>
      </w:pPr>
      <w:r>
        <w:rPr>
          <w:rFonts w:ascii="Arial" w:eastAsia="Times New Roman" w:hAnsi="Arial" w:cs="Arial"/>
          <w:sz w:val="23"/>
          <w:szCs w:val="23"/>
          <w:shd w:val="clear" w:color="auto" w:fill="FFFFFF"/>
          <w:lang w:eastAsia="zh-CN" w:bidi="ar"/>
        </w:rPr>
        <w:t>EO 51- Phil. Code of Marketing of Breast milk Substitutes</w:t>
      </w:r>
    </w:p>
    <w:p w14:paraId="06088EF8" w14:textId="77777777" w:rsidR="00BF2DD2" w:rsidRDefault="00CA65F6">
      <w:pPr>
        <w:numPr>
          <w:ilvl w:val="0"/>
          <w:numId w:val="32"/>
        </w:numPr>
        <w:shd w:val="clear" w:color="auto" w:fill="FFFFFF"/>
        <w:spacing w:after="180" w:line="240" w:lineRule="auto"/>
        <w:jc w:val="both"/>
        <w:textAlignment w:val="baseline"/>
        <w:outlineLvl w:val="4"/>
        <w:rPr>
          <w:rFonts w:ascii="Arial" w:eastAsia="Times New Roman" w:hAnsi="Arial" w:cs="Arial"/>
          <w:sz w:val="23"/>
          <w:szCs w:val="23"/>
          <w:shd w:val="clear" w:color="auto" w:fill="FFFFFF"/>
          <w:lang w:eastAsia="zh-CN" w:bidi="ar"/>
        </w:rPr>
      </w:pPr>
      <w:r>
        <w:rPr>
          <w:rFonts w:ascii="Arial" w:eastAsia="SimSun" w:hAnsi="Arial" w:cs="Arial"/>
          <w:sz w:val="23"/>
          <w:szCs w:val="23"/>
          <w:shd w:val="clear" w:color="auto" w:fill="FFFFFF"/>
        </w:rPr>
        <w:t>regulates the </w:t>
      </w:r>
      <w:r>
        <w:rPr>
          <w:rStyle w:val="Emphasis"/>
          <w:rFonts w:ascii="Arial" w:eastAsia="SimSun" w:hAnsi="Arial" w:cs="Arial"/>
          <w:i w:val="0"/>
          <w:sz w:val="23"/>
          <w:szCs w:val="23"/>
          <w:shd w:val="clear" w:color="auto" w:fill="FFFFFF"/>
        </w:rPr>
        <w:t>marketing</w:t>
      </w:r>
      <w:r>
        <w:rPr>
          <w:rFonts w:ascii="Arial" w:eastAsia="SimSun" w:hAnsi="Arial" w:cs="Arial"/>
          <w:sz w:val="23"/>
          <w:szCs w:val="23"/>
          <w:shd w:val="clear" w:color="auto" w:fill="FFFFFF"/>
        </w:rPr>
        <w:t> of infant </w:t>
      </w:r>
      <w:r>
        <w:rPr>
          <w:rStyle w:val="Emphasis"/>
          <w:rFonts w:ascii="Arial" w:eastAsia="SimSun" w:hAnsi="Arial" w:cs="Arial"/>
          <w:i w:val="0"/>
          <w:sz w:val="23"/>
          <w:szCs w:val="23"/>
          <w:shd w:val="clear" w:color="auto" w:fill="FFFFFF"/>
        </w:rPr>
        <w:t>milk</w:t>
      </w:r>
      <w:r>
        <w:rPr>
          <w:rFonts w:ascii="Arial" w:eastAsia="SimSun" w:hAnsi="Arial" w:cs="Arial"/>
          <w:sz w:val="23"/>
          <w:szCs w:val="23"/>
          <w:shd w:val="clear" w:color="auto" w:fill="FFFFFF"/>
        </w:rPr>
        <w:t> formula, other </w:t>
      </w:r>
      <w:r>
        <w:rPr>
          <w:rStyle w:val="Emphasis"/>
          <w:rFonts w:ascii="Arial" w:eastAsia="SimSun" w:hAnsi="Arial" w:cs="Arial"/>
          <w:i w:val="0"/>
          <w:sz w:val="23"/>
          <w:szCs w:val="23"/>
          <w:shd w:val="clear" w:color="auto" w:fill="FFFFFF"/>
        </w:rPr>
        <w:t>milk</w:t>
      </w:r>
      <w:r>
        <w:rPr>
          <w:rFonts w:ascii="Arial" w:eastAsia="SimSun" w:hAnsi="Arial" w:cs="Arial"/>
          <w:sz w:val="23"/>
          <w:szCs w:val="23"/>
          <w:shd w:val="clear" w:color="auto" w:fill="FFFFFF"/>
        </w:rPr>
        <w:t> products, foods and beverages, as well as </w:t>
      </w:r>
      <w:r>
        <w:rPr>
          <w:rStyle w:val="Emphasis"/>
          <w:rFonts w:ascii="Arial" w:eastAsia="SimSun" w:hAnsi="Arial" w:cs="Arial"/>
          <w:i w:val="0"/>
          <w:sz w:val="23"/>
          <w:szCs w:val="23"/>
          <w:shd w:val="clear" w:color="auto" w:fill="FFFFFF"/>
        </w:rPr>
        <w:t>feeding</w:t>
      </w:r>
      <w:r>
        <w:rPr>
          <w:rFonts w:ascii="Arial" w:eastAsia="SimSun" w:hAnsi="Arial" w:cs="Arial"/>
          <w:sz w:val="23"/>
          <w:szCs w:val="23"/>
          <w:shd w:val="clear" w:color="auto" w:fill="FFFFFF"/>
        </w:rPr>
        <w:t> bottles and teats</w:t>
      </w:r>
    </w:p>
    <w:p w14:paraId="1161621D" w14:textId="77777777" w:rsidR="00BF2DD2" w:rsidRDefault="00CA65F6">
      <w:pPr>
        <w:shd w:val="clear" w:color="auto" w:fill="FFFFFF"/>
        <w:spacing w:after="300" w:line="240" w:lineRule="auto"/>
        <w:jc w:val="both"/>
        <w:textAlignment w:val="baseline"/>
        <w:rPr>
          <w:rFonts w:ascii="Arial" w:eastAsia="Times New Roman" w:hAnsi="Arial" w:cs="Arial"/>
          <w:sz w:val="23"/>
          <w:szCs w:val="23"/>
          <w:shd w:val="clear" w:color="auto" w:fill="FFFFFF"/>
          <w:lang w:eastAsia="zh-CN" w:bidi="ar"/>
        </w:rPr>
      </w:pPr>
      <w:r>
        <w:rPr>
          <w:rFonts w:ascii="Arial" w:eastAsia="Times New Roman" w:hAnsi="Arial" w:cs="Arial"/>
          <w:sz w:val="23"/>
          <w:szCs w:val="23"/>
          <w:shd w:val="clear" w:color="auto" w:fill="FFFFFF"/>
          <w:lang w:eastAsia="zh-CN" w:bidi="ar"/>
        </w:rPr>
        <w:t xml:space="preserve">R.A. – 7600 – Rooming </w:t>
      </w:r>
      <w:proofErr w:type="gramStart"/>
      <w:r>
        <w:rPr>
          <w:rFonts w:ascii="Arial" w:eastAsia="Times New Roman" w:hAnsi="Arial" w:cs="Arial"/>
          <w:sz w:val="23"/>
          <w:szCs w:val="23"/>
          <w:shd w:val="clear" w:color="auto" w:fill="FFFFFF"/>
          <w:lang w:eastAsia="zh-CN" w:bidi="ar"/>
        </w:rPr>
        <w:t>In</w:t>
      </w:r>
      <w:proofErr w:type="gramEnd"/>
      <w:r>
        <w:rPr>
          <w:rFonts w:ascii="Arial" w:eastAsia="Times New Roman" w:hAnsi="Arial" w:cs="Arial"/>
          <w:sz w:val="23"/>
          <w:szCs w:val="23"/>
          <w:shd w:val="clear" w:color="auto" w:fill="FFFFFF"/>
          <w:lang w:eastAsia="zh-CN" w:bidi="ar"/>
        </w:rPr>
        <w:t xml:space="preserve"> and Breastfeeding Act of 1992</w:t>
      </w:r>
    </w:p>
    <w:p w14:paraId="5FFDB7D8" w14:textId="77777777" w:rsidR="00BF2DD2" w:rsidRDefault="00CA65F6">
      <w:pPr>
        <w:numPr>
          <w:ilvl w:val="0"/>
          <w:numId w:val="33"/>
        </w:numPr>
        <w:shd w:val="clear" w:color="auto" w:fill="FFFFFF"/>
        <w:spacing w:after="300" w:line="240" w:lineRule="auto"/>
        <w:jc w:val="both"/>
        <w:textAlignment w:val="baseline"/>
        <w:rPr>
          <w:rFonts w:ascii="Arial" w:eastAsia="Times New Roman" w:hAnsi="Arial" w:cs="Arial"/>
          <w:sz w:val="23"/>
          <w:szCs w:val="23"/>
          <w:shd w:val="clear" w:color="auto" w:fill="FFFFFF"/>
          <w:lang w:eastAsia="zh-CN" w:bidi="ar"/>
        </w:rPr>
      </w:pPr>
      <w:r>
        <w:rPr>
          <w:rFonts w:ascii="Arial" w:eastAsia="SimSun" w:hAnsi="Arial" w:cs="Arial"/>
          <w:sz w:val="23"/>
          <w:szCs w:val="23"/>
          <w:shd w:val="clear" w:color="auto" w:fill="FFFFFF"/>
        </w:rPr>
        <w:t>AN ACT PROVIDING INCENTIVES TO ALL GOVERNMENT AND PRIVATE HEALTH INSTITUTIONS WITH ROOMING-IN AND BREASTFEEDING PRACTICES AND FOR OTHER PURPOSES. This law is in promotion of the State policy to encourage the practice of breastfeeding in the Philippines</w:t>
      </w:r>
    </w:p>
    <w:p w14:paraId="2382B3FC" w14:textId="77777777" w:rsidR="00BF2DD2" w:rsidRDefault="00CA65F6">
      <w:pPr>
        <w:shd w:val="clear" w:color="auto" w:fill="FFFFFF"/>
        <w:spacing w:after="300" w:line="240" w:lineRule="auto"/>
        <w:jc w:val="both"/>
        <w:textAlignment w:val="baseline"/>
        <w:rPr>
          <w:rFonts w:ascii="Arial" w:eastAsia="Times New Roman" w:hAnsi="Arial" w:cs="Arial"/>
          <w:color w:val="212121"/>
          <w:sz w:val="23"/>
          <w:szCs w:val="23"/>
          <w:shd w:val="clear" w:color="auto" w:fill="FFFFFF"/>
          <w:lang w:eastAsia="zh-CN" w:bidi="ar"/>
        </w:rPr>
      </w:pPr>
      <w:r>
        <w:rPr>
          <w:rFonts w:ascii="Arial" w:eastAsia="Times New Roman" w:hAnsi="Arial" w:cs="Arial"/>
          <w:color w:val="212121"/>
          <w:sz w:val="23"/>
          <w:szCs w:val="23"/>
          <w:shd w:val="clear" w:color="auto" w:fill="FFFFFF"/>
          <w:lang w:eastAsia="zh-CN" w:bidi="ar"/>
        </w:rPr>
        <w:t>R.A. 8976- Food Fortification Law</w:t>
      </w:r>
    </w:p>
    <w:p w14:paraId="683F8E34" w14:textId="77777777" w:rsidR="00BF2DD2" w:rsidRDefault="00CA65F6">
      <w:pPr>
        <w:numPr>
          <w:ilvl w:val="0"/>
          <w:numId w:val="34"/>
        </w:numPr>
        <w:shd w:val="clear" w:color="auto" w:fill="FFFFFF"/>
        <w:tabs>
          <w:tab w:val="clear" w:pos="420"/>
        </w:tabs>
        <w:spacing w:after="300" w:line="240" w:lineRule="auto"/>
        <w:ind w:left="0" w:firstLine="0"/>
        <w:jc w:val="both"/>
        <w:textAlignment w:val="baseline"/>
        <w:rPr>
          <w:rFonts w:ascii="Arial" w:eastAsia="Times New Roman" w:hAnsi="Arial" w:cs="Arial"/>
          <w:color w:val="212121"/>
          <w:sz w:val="23"/>
          <w:szCs w:val="23"/>
          <w:shd w:val="clear" w:color="auto" w:fill="FFFFFF"/>
          <w:lang w:eastAsia="zh-CN" w:bidi="ar"/>
        </w:rPr>
      </w:pPr>
      <w:r>
        <w:rPr>
          <w:rFonts w:ascii="Arial" w:eastAsia="SimSun" w:hAnsi="Arial" w:cs="Arial"/>
          <w:color w:val="222222"/>
          <w:sz w:val="23"/>
          <w:szCs w:val="23"/>
          <w:shd w:val="clear" w:color="auto" w:fill="FFFFFF"/>
        </w:rPr>
        <w:t>provided the policy on mandatory fortification of staple foods and voluntary fortification of processed foods or food products</w:t>
      </w:r>
    </w:p>
    <w:p w14:paraId="693F61EA" w14:textId="77777777" w:rsidR="00BF2DD2" w:rsidRDefault="00CA65F6">
      <w:pPr>
        <w:shd w:val="clear" w:color="auto" w:fill="FFFFFF"/>
        <w:spacing w:after="0" w:line="240" w:lineRule="auto"/>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R.A. 8980</w:t>
      </w:r>
    </w:p>
    <w:p w14:paraId="3F9C45F8" w14:textId="77777777" w:rsidR="00BF2DD2" w:rsidRDefault="00CA65F6">
      <w:pPr>
        <w:numPr>
          <w:ilvl w:val="0"/>
          <w:numId w:val="35"/>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promulgates a comprehensive policy and a national system for ECCD</w:t>
      </w:r>
    </w:p>
    <w:p w14:paraId="69350D83"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3354534D"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A.O. No. 2006- 0015</w:t>
      </w:r>
    </w:p>
    <w:p w14:paraId="450C7C5A" w14:textId="77777777" w:rsidR="00BF2DD2" w:rsidRDefault="00CA65F6">
      <w:pPr>
        <w:numPr>
          <w:ilvl w:val="0"/>
          <w:numId w:val="36"/>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defines the Implementing guidelines on Hepatitis B Immunization for Infants</w:t>
      </w:r>
    </w:p>
    <w:p w14:paraId="0B0B5833"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4D43454A"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7846</w:t>
      </w:r>
    </w:p>
    <w:p w14:paraId="28C5FA88" w14:textId="77777777" w:rsidR="00BF2DD2" w:rsidRDefault="00CA65F6">
      <w:pPr>
        <w:numPr>
          <w:ilvl w:val="0"/>
          <w:numId w:val="37"/>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 xml:space="preserve">mandates Compulsory Hepatitis B Immunization among infants and children less than 8 </w:t>
      </w:r>
      <w:proofErr w:type="spellStart"/>
      <w:r>
        <w:rPr>
          <w:rFonts w:ascii="Arial" w:eastAsia="Times New Roman" w:hAnsi="Arial" w:cs="Arial"/>
          <w:color w:val="212121"/>
          <w:sz w:val="23"/>
          <w:szCs w:val="23"/>
          <w:shd w:val="clear" w:color="auto" w:fill="FFFFFF"/>
          <w:lang w:eastAsia="zh-CN" w:bidi="ar"/>
        </w:rPr>
        <w:t>yrs</w:t>
      </w:r>
      <w:proofErr w:type="spellEnd"/>
      <w:r>
        <w:rPr>
          <w:rFonts w:ascii="Arial" w:eastAsia="Times New Roman" w:hAnsi="Arial" w:cs="Arial"/>
          <w:color w:val="212121"/>
          <w:sz w:val="23"/>
          <w:szCs w:val="23"/>
          <w:shd w:val="clear" w:color="auto" w:fill="FFFFFF"/>
          <w:lang w:eastAsia="zh-CN" w:bidi="ar"/>
        </w:rPr>
        <w:t xml:space="preserve"> old</w:t>
      </w:r>
    </w:p>
    <w:p w14:paraId="4E28F44B" w14:textId="77777777" w:rsidR="00BF2DD2" w:rsidRDefault="00BF2DD2">
      <w:p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p>
    <w:p w14:paraId="1430C6A1"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R.A. 2029</w:t>
      </w:r>
    </w:p>
    <w:p w14:paraId="2E40B8C0" w14:textId="77777777" w:rsidR="00BF2DD2" w:rsidRDefault="00CA65F6">
      <w:pPr>
        <w:numPr>
          <w:ilvl w:val="0"/>
          <w:numId w:val="38"/>
        </w:numPr>
        <w:shd w:val="clear" w:color="auto" w:fill="FFFFFF"/>
        <w:spacing w:after="0" w:line="240" w:lineRule="auto"/>
        <w:ind w:left="456"/>
        <w:jc w:val="both"/>
        <w:textAlignment w:val="baseline"/>
        <w:rPr>
          <w:rFonts w:ascii="Arial" w:eastAsia="Times New Roman" w:hAnsi="Arial" w:cs="Arial"/>
          <w:color w:val="212121"/>
          <w:sz w:val="23"/>
          <w:szCs w:val="23"/>
          <w:shd w:val="clear" w:color="auto" w:fill="FFFFFF"/>
        </w:rPr>
      </w:pPr>
      <w:r>
        <w:rPr>
          <w:rFonts w:ascii="Arial" w:eastAsia="Times New Roman" w:hAnsi="Arial" w:cs="Arial"/>
          <w:color w:val="212121"/>
          <w:sz w:val="23"/>
          <w:szCs w:val="23"/>
          <w:shd w:val="clear" w:color="auto" w:fill="FFFFFF"/>
          <w:lang w:eastAsia="zh-CN" w:bidi="ar"/>
        </w:rPr>
        <w:t>mandates Liver Cancer and Hepatitis B Awareness Month Act (February)</w:t>
      </w:r>
    </w:p>
    <w:p w14:paraId="03FC6250" w14:textId="77777777" w:rsidR="00BF2DD2" w:rsidRDefault="00CA65F6">
      <w:pPr>
        <w:shd w:val="clear" w:color="auto" w:fill="FFFFFF"/>
        <w:spacing w:after="0" w:line="240" w:lineRule="auto"/>
        <w:jc w:val="both"/>
        <w:textAlignment w:val="baseline"/>
        <w:outlineLvl w:val="4"/>
        <w:rPr>
          <w:rFonts w:ascii="Arial" w:eastAsia="Times New Roman" w:hAnsi="Arial" w:cs="Arial"/>
          <w:color w:val="0C0C0C"/>
          <w:sz w:val="23"/>
          <w:szCs w:val="23"/>
          <w:shd w:val="clear" w:color="auto" w:fill="FFFFFF"/>
        </w:rPr>
      </w:pPr>
      <w:r>
        <w:rPr>
          <w:rFonts w:ascii="Arial" w:eastAsia="Times New Roman" w:hAnsi="Arial" w:cs="Arial"/>
          <w:color w:val="0C0C0C"/>
          <w:sz w:val="23"/>
          <w:szCs w:val="23"/>
          <w:shd w:val="clear" w:color="auto" w:fill="FFFFFF"/>
          <w:lang w:eastAsia="zh-CN" w:bidi="ar"/>
        </w:rPr>
        <w:t>A.O. No. 2006-0012</w:t>
      </w:r>
    </w:p>
    <w:p w14:paraId="04545243" w14:textId="77777777" w:rsidR="00BF2DD2" w:rsidRDefault="00CA65F6">
      <w:pPr>
        <w:numPr>
          <w:ilvl w:val="0"/>
          <w:numId w:val="39"/>
        </w:numPr>
        <w:shd w:val="clear" w:color="auto" w:fill="FFFFFF"/>
        <w:spacing w:after="0" w:line="240" w:lineRule="auto"/>
        <w:ind w:left="456"/>
        <w:jc w:val="both"/>
        <w:textAlignment w:val="baseline"/>
        <w:rPr>
          <w:rFonts w:ascii="Arial" w:eastAsia="Times New Roman" w:hAnsi="Arial" w:cs="Arial"/>
          <w:color w:val="000000"/>
          <w:sz w:val="23"/>
          <w:szCs w:val="23"/>
        </w:rPr>
      </w:pPr>
      <w:r>
        <w:rPr>
          <w:rFonts w:ascii="Arial" w:eastAsia="Times New Roman" w:hAnsi="Arial" w:cs="Arial"/>
          <w:color w:val="212121"/>
          <w:sz w:val="23"/>
          <w:szCs w:val="23"/>
          <w:shd w:val="clear" w:color="auto" w:fill="FFFFFF"/>
          <w:lang w:eastAsia="zh-CN" w:bidi="ar"/>
        </w:rPr>
        <w:t>specifies the Revised Implementing Rules and Regulations of E.O. 51 or Milk Code, Relevant International Agreements, Penalizing Violations thereof and for other purposes</w:t>
      </w:r>
    </w:p>
    <w:p w14:paraId="31E4747C" w14:textId="77777777" w:rsidR="00BF2DD2" w:rsidRDefault="00CA65F6">
      <w:pPr>
        <w:rPr>
          <w:rFonts w:ascii="Arial" w:hAnsi="Arial" w:cs="Arial"/>
          <w:sz w:val="23"/>
          <w:szCs w:val="23"/>
        </w:rPr>
      </w:pPr>
      <w:r>
        <w:rPr>
          <w:rFonts w:ascii="Arial" w:hAnsi="Arial" w:cs="Arial"/>
          <w:noProof/>
          <w:color w:val="000000"/>
          <w:sz w:val="23"/>
          <w:szCs w:val="23"/>
        </w:rPr>
        <w:drawing>
          <wp:inline distT="0" distB="0" distL="0" distR="0" wp14:anchorId="56BB4040" wp14:editId="689CC7CA">
            <wp:extent cx="5939155" cy="751840"/>
            <wp:effectExtent l="0" t="0" r="444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47157" cy="752853"/>
                    </a:xfrm>
                    <a:prstGeom prst="rect">
                      <a:avLst/>
                    </a:prstGeom>
                    <a:noFill/>
                    <a:ln>
                      <a:noFill/>
                    </a:ln>
                  </pic:spPr>
                </pic:pic>
              </a:graphicData>
            </a:graphic>
          </wp:inline>
        </w:drawing>
      </w:r>
    </w:p>
    <w:p w14:paraId="24558FF7" w14:textId="101F558B" w:rsidR="00BF2DD2" w:rsidRDefault="00CA65F6">
      <w:pPr>
        <w:rPr>
          <w:rFonts w:ascii="Arial" w:hAnsi="Arial" w:cs="Arial"/>
          <w:sz w:val="23"/>
          <w:szCs w:val="23"/>
        </w:rPr>
      </w:pPr>
      <w:r>
        <w:rPr>
          <w:rFonts w:ascii="Arial" w:hAnsi="Arial" w:cs="Arial"/>
          <w:sz w:val="23"/>
          <w:szCs w:val="23"/>
        </w:rPr>
        <w:t>Website:</w:t>
      </w:r>
      <w:r w:rsidR="008F0059" w:rsidRPr="008F0059">
        <w:t xml:space="preserve"> </w:t>
      </w:r>
      <w:hyperlink r:id="rId16" w:history="1">
        <w:r w:rsidR="008F0059" w:rsidRPr="000D269C">
          <w:rPr>
            <w:rStyle w:val="Hyperlink"/>
            <w:rFonts w:ascii="Arial" w:hAnsi="Arial" w:cs="Arial"/>
            <w:sz w:val="23"/>
            <w:szCs w:val="23"/>
          </w:rPr>
          <w:t>http://thepafp.org/website/wp-content/uploads/2017/05/Philippine-Health-Care-Laws.pdf</w:t>
        </w:r>
      </w:hyperlink>
    </w:p>
    <w:p w14:paraId="797C13B8" w14:textId="3D572296" w:rsidR="008F0059" w:rsidRDefault="008F0059">
      <w:pPr>
        <w:rPr>
          <w:rFonts w:ascii="Arial" w:hAnsi="Arial" w:cs="Arial"/>
          <w:sz w:val="23"/>
          <w:szCs w:val="23"/>
        </w:rPr>
      </w:pPr>
      <w:r>
        <w:rPr>
          <w:rFonts w:ascii="Arial" w:hAnsi="Arial" w:cs="Arial"/>
          <w:sz w:val="23"/>
          <w:szCs w:val="23"/>
        </w:rPr>
        <w:t xml:space="preserve">Website: </w:t>
      </w:r>
      <w:r w:rsidRPr="008F0059">
        <w:rPr>
          <w:rFonts w:ascii="Arial" w:hAnsi="Arial" w:cs="Arial"/>
          <w:sz w:val="23"/>
          <w:szCs w:val="23"/>
        </w:rPr>
        <w:t>https://www.pna.gov.ph/articles/1075580</w:t>
      </w:r>
    </w:p>
    <w:p w14:paraId="0180C52F" w14:textId="0C833A4D" w:rsidR="00BF2DD2" w:rsidRDefault="008F0059">
      <w:pPr>
        <w:rPr>
          <w:rFonts w:ascii="Arial" w:hAnsi="Arial" w:cs="Arial"/>
          <w:sz w:val="23"/>
          <w:szCs w:val="23"/>
        </w:rPr>
      </w:pPr>
      <w:r>
        <w:rPr>
          <w:rFonts w:ascii="Arial" w:hAnsi="Arial" w:cs="Arial"/>
          <w:sz w:val="23"/>
          <w:szCs w:val="23"/>
        </w:rPr>
        <w:t xml:space="preserve">Website: </w:t>
      </w:r>
      <w:hyperlink r:id="rId17" w:history="1">
        <w:r w:rsidRPr="000D269C">
          <w:rPr>
            <w:rStyle w:val="Hyperlink"/>
            <w:rFonts w:ascii="Arial" w:hAnsi="Arial" w:cs="Arial"/>
            <w:sz w:val="23"/>
            <w:szCs w:val="23"/>
          </w:rPr>
          <w:t>https://www.doh.gov.ph</w:t>
        </w:r>
      </w:hyperlink>
    </w:p>
    <w:p w14:paraId="502DC11E" w14:textId="77777777" w:rsidR="008F0059" w:rsidRDefault="008F0059">
      <w:pPr>
        <w:rPr>
          <w:rFonts w:ascii="Arial" w:hAnsi="Arial" w:cs="Arial"/>
          <w:sz w:val="23"/>
          <w:szCs w:val="23"/>
        </w:rPr>
      </w:pPr>
    </w:p>
    <w:p w14:paraId="4419565E" w14:textId="77777777" w:rsidR="00BF2DD2" w:rsidRDefault="00CA65F6">
      <w:pPr>
        <w:pStyle w:val="Heading1"/>
        <w:shd w:val="clear" w:color="auto" w:fill="FFFFFF"/>
        <w:spacing w:before="300" w:beforeAutospacing="0" w:after="150" w:afterAutospacing="0"/>
        <w:rPr>
          <w:rFonts w:ascii="Arial" w:eastAsia="Times New Roman" w:hAnsi="Arial" w:cs="Arial"/>
          <w:bCs w:val="0"/>
          <w:color w:val="444444"/>
          <w:sz w:val="23"/>
          <w:szCs w:val="23"/>
        </w:rPr>
      </w:pPr>
      <w:r>
        <w:rPr>
          <w:rFonts w:ascii="Arial" w:hAnsi="Arial" w:cs="Arial"/>
          <w:noProof/>
          <w:color w:val="000000"/>
          <w:sz w:val="23"/>
          <w:szCs w:val="23"/>
        </w:rPr>
        <w:lastRenderedPageBreak/>
        <w:drawing>
          <wp:inline distT="0" distB="0" distL="0" distR="0" wp14:anchorId="61A989D7" wp14:editId="4019E7CE">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14:paraId="1B133A21" w14:textId="77777777" w:rsidR="00BF2DD2" w:rsidRDefault="00CA65F6">
      <w:pPr>
        <w:shd w:val="clear" w:color="auto" w:fill="FFFFFF"/>
        <w:jc w:val="both"/>
        <w:rPr>
          <w:rStyle w:val="Emphasis"/>
          <w:rFonts w:ascii="Arial" w:hAnsi="Arial" w:cs="Arial"/>
          <w:b/>
          <w:i w:val="0"/>
          <w:color w:val="444444"/>
          <w:sz w:val="23"/>
          <w:szCs w:val="23"/>
        </w:rPr>
      </w:pPr>
      <w:r>
        <w:rPr>
          <w:rStyle w:val="Emphasis"/>
          <w:rFonts w:ascii="Arial" w:hAnsi="Arial" w:cs="Arial"/>
          <w:b/>
          <w:i w:val="0"/>
          <w:color w:val="444444"/>
          <w:sz w:val="23"/>
          <w:szCs w:val="23"/>
        </w:rPr>
        <w:t xml:space="preserve">Blood Bank- </w:t>
      </w:r>
      <w:r>
        <w:rPr>
          <w:rFonts w:ascii="Arial" w:hAnsi="Arial" w:cs="Arial"/>
          <w:color w:val="222222"/>
          <w:sz w:val="23"/>
          <w:szCs w:val="23"/>
          <w:shd w:val="clear" w:color="auto" w:fill="FFFFFF"/>
        </w:rPr>
        <w:t>a place where supplies of blood or plasma for transfusion are stored.</w:t>
      </w:r>
    </w:p>
    <w:p w14:paraId="4BA9CB18" w14:textId="77777777" w:rsidR="00BF2DD2" w:rsidRDefault="00CA65F6">
      <w:pPr>
        <w:shd w:val="clear" w:color="auto" w:fill="FFFFFF"/>
        <w:jc w:val="both"/>
        <w:rPr>
          <w:rFonts w:ascii="Arial" w:hAnsi="Arial" w:cs="Arial"/>
          <w:b/>
          <w:i/>
          <w:sz w:val="23"/>
          <w:szCs w:val="23"/>
        </w:rPr>
      </w:pPr>
      <w:r>
        <w:rPr>
          <w:rStyle w:val="Emphasis"/>
          <w:rFonts w:ascii="Arial" w:hAnsi="Arial" w:cs="Arial"/>
          <w:b/>
          <w:i w:val="0"/>
          <w:color w:val="444444"/>
          <w:sz w:val="23"/>
          <w:szCs w:val="23"/>
        </w:rPr>
        <w:t xml:space="preserve">Blood Donation- </w:t>
      </w:r>
      <w:r>
        <w:rPr>
          <w:rFonts w:ascii="Arial" w:hAnsi="Arial" w:cs="Arial"/>
          <w:color w:val="4D5156"/>
          <w:sz w:val="23"/>
          <w:szCs w:val="23"/>
          <w:shd w:val="clear" w:color="auto" w:fill="FFFFFF"/>
        </w:rPr>
        <w:t>process of collecting, testing, preparing, and storing blood and blood components</w:t>
      </w:r>
    </w:p>
    <w:p w14:paraId="4BE14005" w14:textId="77777777" w:rsidR="00BF2DD2" w:rsidRDefault="00CA65F6">
      <w:pPr>
        <w:shd w:val="clear" w:color="auto" w:fill="FFFFFF"/>
        <w:jc w:val="both"/>
        <w:rPr>
          <w:rFonts w:ascii="Arial" w:hAnsi="Arial" w:cs="Arial"/>
          <w:color w:val="000000"/>
          <w:sz w:val="23"/>
          <w:szCs w:val="23"/>
          <w:shd w:val="clear" w:color="auto" w:fill="FFFFFF"/>
        </w:rPr>
      </w:pPr>
      <w:r>
        <w:rPr>
          <w:rFonts w:ascii="Arial" w:hAnsi="Arial" w:cs="Arial"/>
          <w:b/>
          <w:color w:val="000000"/>
          <w:sz w:val="23"/>
          <w:szCs w:val="23"/>
          <w:shd w:val="clear" w:color="auto" w:fill="FFFFFF"/>
        </w:rPr>
        <w:t>Confirmatory Test.</w:t>
      </w:r>
      <w:r>
        <w:rPr>
          <w:rFonts w:ascii="Arial" w:hAnsi="Arial" w:cs="Arial"/>
          <w:color w:val="000000"/>
          <w:sz w:val="23"/>
          <w:szCs w:val="23"/>
          <w:shd w:val="clear" w:color="auto" w:fill="FFFFFF"/>
        </w:rPr>
        <w:t xml:space="preserve"> – An analytical test using a device, tool or equipment with a different chemical or physical principle that is more specific which will validate and confirm the result of the screening test.</w:t>
      </w:r>
    </w:p>
    <w:p w14:paraId="1B61D3AA" w14:textId="77777777" w:rsidR="00BF2DD2" w:rsidRDefault="00CA65F6">
      <w:pPr>
        <w:shd w:val="clear" w:color="auto" w:fill="FFFFFF"/>
        <w:jc w:val="both"/>
        <w:rPr>
          <w:rFonts w:ascii="Arial" w:hAnsi="Arial" w:cs="Arial"/>
          <w:b/>
          <w:sz w:val="23"/>
          <w:szCs w:val="23"/>
        </w:rPr>
      </w:pPr>
      <w:r>
        <w:rPr>
          <w:rFonts w:ascii="Arial" w:hAnsi="Arial" w:cs="Arial"/>
          <w:b/>
          <w:color w:val="000000"/>
          <w:sz w:val="23"/>
          <w:szCs w:val="23"/>
          <w:shd w:val="clear" w:color="auto" w:fill="FFFFFF"/>
        </w:rPr>
        <w:t xml:space="preserve">Insurance - </w:t>
      </w:r>
      <w:r>
        <w:rPr>
          <w:rFonts w:ascii="Arial" w:hAnsi="Arial" w:cs="Arial"/>
          <w:color w:val="222222"/>
          <w:sz w:val="23"/>
          <w:szCs w:val="23"/>
          <w:shd w:val="clear" w:color="auto" w:fill="FFFFFF"/>
        </w:rPr>
        <w:t>a thing providing protection against a possible eventuality.</w:t>
      </w:r>
    </w:p>
    <w:p w14:paraId="1301DE0D" w14:textId="77777777" w:rsidR="00BF2DD2" w:rsidRDefault="00CA65F6">
      <w:pPr>
        <w:shd w:val="clear" w:color="auto" w:fill="FFFFFF"/>
        <w:jc w:val="both"/>
        <w:rPr>
          <w:rFonts w:ascii="Arial" w:hAnsi="Arial" w:cs="Arial"/>
          <w:b/>
          <w:sz w:val="23"/>
          <w:szCs w:val="23"/>
        </w:rPr>
      </w:pPr>
      <w:r>
        <w:rPr>
          <w:rFonts w:ascii="Arial" w:hAnsi="Arial" w:cs="Arial"/>
          <w:b/>
          <w:sz w:val="23"/>
          <w:szCs w:val="23"/>
        </w:rPr>
        <w:t xml:space="preserve">Public Health - </w:t>
      </w:r>
      <w:r>
        <w:rPr>
          <w:rFonts w:ascii="Arial" w:hAnsi="Arial" w:cs="Arial"/>
          <w:color w:val="4D5156"/>
          <w:sz w:val="23"/>
          <w:szCs w:val="23"/>
          <w:shd w:val="clear" w:color="auto" w:fill="FFFFFF"/>
        </w:rPr>
        <w:t>is the science of protecting and improving the </w:t>
      </w:r>
      <w:r>
        <w:rPr>
          <w:rStyle w:val="Emphasis"/>
          <w:rFonts w:ascii="Arial" w:hAnsi="Arial" w:cs="Arial"/>
          <w:b/>
          <w:bCs/>
          <w:i w:val="0"/>
          <w:iCs w:val="0"/>
          <w:color w:val="5F6368"/>
          <w:sz w:val="23"/>
          <w:szCs w:val="23"/>
          <w:shd w:val="clear" w:color="auto" w:fill="FFFFFF"/>
        </w:rPr>
        <w:t>health</w:t>
      </w:r>
      <w:r>
        <w:rPr>
          <w:rFonts w:ascii="Arial" w:hAnsi="Arial" w:cs="Arial"/>
          <w:color w:val="4D5156"/>
          <w:sz w:val="23"/>
          <w:szCs w:val="23"/>
          <w:shd w:val="clear" w:color="auto" w:fill="FFFFFF"/>
        </w:rPr>
        <w:t> of people and their communities.</w:t>
      </w:r>
    </w:p>
    <w:p w14:paraId="49B06287" w14:textId="77777777" w:rsidR="00BF2DD2" w:rsidRDefault="00CA65F6">
      <w:pPr>
        <w:shd w:val="clear" w:color="auto" w:fill="FFFFFF"/>
        <w:jc w:val="both"/>
        <w:rPr>
          <w:rFonts w:ascii="Arial" w:hAnsi="Arial" w:cs="Arial"/>
          <w:b/>
          <w:sz w:val="23"/>
          <w:szCs w:val="23"/>
        </w:rPr>
      </w:pPr>
      <w:r>
        <w:rPr>
          <w:rFonts w:ascii="Arial" w:hAnsi="Arial" w:cs="Arial"/>
          <w:b/>
          <w:sz w:val="23"/>
          <w:szCs w:val="23"/>
        </w:rPr>
        <w:t xml:space="preserve">Senior Citizen- </w:t>
      </w:r>
      <w:r>
        <w:rPr>
          <w:rFonts w:ascii="Arial" w:hAnsi="Arial" w:cs="Arial"/>
          <w:color w:val="222222"/>
          <w:sz w:val="23"/>
          <w:szCs w:val="23"/>
          <w:shd w:val="clear" w:color="auto" w:fill="FFFFFF"/>
        </w:rPr>
        <w:t>an elderly person, especially one who is retired and living on a pension.</w:t>
      </w:r>
    </w:p>
    <w:p w14:paraId="0EC0ABAA" w14:textId="77777777" w:rsidR="00BF2DD2" w:rsidRDefault="00BF2DD2">
      <w:pPr>
        <w:shd w:val="clear" w:color="auto" w:fill="FFFFFF"/>
        <w:rPr>
          <w:rFonts w:ascii="Arial" w:hAnsi="Arial" w:cs="Arial"/>
          <w:color w:val="222222"/>
          <w:sz w:val="23"/>
          <w:szCs w:val="23"/>
          <w:shd w:val="clear" w:color="auto" w:fill="FFFFFF"/>
        </w:rPr>
      </w:pPr>
    </w:p>
    <w:p w14:paraId="10864B56" w14:textId="77777777" w:rsidR="00BF2DD2" w:rsidRDefault="00CA65F6">
      <w:pPr>
        <w:shd w:val="clear" w:color="auto" w:fill="FFFFFF"/>
        <w:rPr>
          <w:rFonts w:ascii="Arial" w:hAnsi="Arial" w:cs="Arial"/>
          <w:color w:val="000000"/>
          <w:sz w:val="23"/>
          <w:szCs w:val="23"/>
        </w:rPr>
      </w:pPr>
      <w:r>
        <w:rPr>
          <w:rFonts w:ascii="Arial" w:hAnsi="Arial" w:cs="Arial"/>
          <w:noProof/>
          <w:color w:val="000000"/>
          <w:sz w:val="23"/>
          <w:szCs w:val="23"/>
        </w:rPr>
        <w:drawing>
          <wp:inline distT="0" distB="0" distL="0" distR="0" wp14:anchorId="3CDE967D" wp14:editId="42400C48">
            <wp:extent cx="5772150"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772150" cy="718185"/>
                    </a:xfrm>
                    <a:prstGeom prst="rect">
                      <a:avLst/>
                    </a:prstGeom>
                    <a:noFill/>
                    <a:ln>
                      <a:noFill/>
                    </a:ln>
                  </pic:spPr>
                </pic:pic>
              </a:graphicData>
            </a:graphic>
          </wp:inline>
        </w:drawing>
      </w:r>
    </w:p>
    <w:p w14:paraId="0B04ED06" w14:textId="77777777" w:rsidR="00BF2DD2" w:rsidRDefault="00CA65F6">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Study Question:</w:t>
      </w:r>
    </w:p>
    <w:p w14:paraId="5705BD4B" w14:textId="77777777" w:rsidR="00BF2DD2" w:rsidRDefault="00CA65F6">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How can each Public Health Laws comply with the standard of Department of Health?</w:t>
      </w:r>
    </w:p>
    <w:p w14:paraId="123BD658" w14:textId="77777777" w:rsidR="00BF2DD2" w:rsidRDefault="00CA65F6">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 xml:space="preserve">Download a Nursing Research article about Public Health Laws from DOH and write a </w:t>
      </w:r>
      <w:proofErr w:type="gramStart"/>
      <w:r>
        <w:rPr>
          <w:rFonts w:ascii="Arial" w:hAnsi="Arial" w:cs="Arial"/>
          <w:color w:val="000000"/>
          <w:sz w:val="23"/>
          <w:szCs w:val="23"/>
        </w:rPr>
        <w:t>200-300 word</w:t>
      </w:r>
      <w:proofErr w:type="gramEnd"/>
      <w:r>
        <w:rPr>
          <w:rFonts w:ascii="Arial" w:hAnsi="Arial" w:cs="Arial"/>
          <w:color w:val="000000"/>
          <w:sz w:val="23"/>
          <w:szCs w:val="23"/>
        </w:rPr>
        <w:t xml:space="preserve"> essay as reflection.</w:t>
      </w:r>
    </w:p>
    <w:p w14:paraId="1C9A9742" w14:textId="77777777" w:rsidR="00BF2DD2" w:rsidRDefault="00CA65F6">
      <w:pPr>
        <w:widowControl w:val="0"/>
        <w:autoSpaceDE w:val="0"/>
        <w:autoSpaceDN w:val="0"/>
        <w:adjustRightInd w:val="0"/>
        <w:spacing w:after="240" w:line="300" w:lineRule="atLeast"/>
        <w:rPr>
          <w:rFonts w:ascii="Arial" w:hAnsi="Arial" w:cs="Arial"/>
          <w:b/>
          <w:sz w:val="23"/>
          <w:szCs w:val="23"/>
        </w:rPr>
      </w:pPr>
      <w:r>
        <w:rPr>
          <w:rFonts w:ascii="Arial" w:hAnsi="Arial" w:cs="Arial"/>
          <w:noProof/>
          <w:color w:val="000000"/>
          <w:sz w:val="23"/>
          <w:szCs w:val="23"/>
        </w:rPr>
        <w:drawing>
          <wp:inline distT="0" distB="0" distL="0" distR="0" wp14:anchorId="2E23FBF3" wp14:editId="3585724B">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14:paraId="71A975AC" w14:textId="77777777" w:rsidR="00BF2DD2" w:rsidRDefault="00CA65F6">
      <w:pPr>
        <w:spacing w:line="276" w:lineRule="auto"/>
        <w:rPr>
          <w:rFonts w:ascii="Arial" w:hAnsi="Arial" w:cs="Arial"/>
          <w:i/>
          <w:iCs/>
          <w:color w:val="088C45"/>
          <w:sz w:val="28"/>
          <w:szCs w:val="28"/>
        </w:rPr>
      </w:pPr>
      <w:r>
        <w:rPr>
          <w:rFonts w:ascii="Arial" w:hAnsi="Arial" w:cs="Arial"/>
          <w:i/>
          <w:iCs/>
          <w:color w:val="088C45"/>
          <w:sz w:val="28"/>
          <w:szCs w:val="28"/>
        </w:rPr>
        <w:t>Books</w:t>
      </w:r>
    </w:p>
    <w:p w14:paraId="0D143841" w14:textId="77777777" w:rsidR="00BF2DD2" w:rsidRDefault="00CA65F6">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Zenaida </w:t>
      </w:r>
      <w:proofErr w:type="spellStart"/>
      <w:r>
        <w:rPr>
          <w:rFonts w:ascii="Arial" w:eastAsia="Calibri" w:hAnsi="Arial" w:cs="Arial"/>
          <w:sz w:val="23"/>
          <w:szCs w:val="23"/>
          <w:lang w:eastAsia="zh-CN" w:bidi="ar"/>
        </w:rPr>
        <w:t>Famorca</w:t>
      </w:r>
      <w:proofErr w:type="spellEnd"/>
    </w:p>
    <w:p w14:paraId="5BBED753" w14:textId="77777777" w:rsidR="00BF2DD2" w:rsidRDefault="00CA65F6">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14:paraId="43577075" w14:textId="77777777" w:rsidR="00BF2DD2" w:rsidRDefault="00CA65F6">
      <w:pPr>
        <w:spacing w:line="256" w:lineRule="auto"/>
        <w:rPr>
          <w:rFonts w:ascii="Arial" w:hAnsi="Arial" w:cs="Arial"/>
          <w:sz w:val="23"/>
          <w:szCs w:val="23"/>
        </w:rPr>
      </w:pPr>
      <w:r>
        <w:rPr>
          <w:rFonts w:ascii="Arial" w:eastAsia="Calibri" w:hAnsi="Arial" w:cs="Arial"/>
          <w:sz w:val="23"/>
          <w:szCs w:val="23"/>
          <w:lang w:eastAsia="zh-CN" w:bidi="ar"/>
        </w:rPr>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14:paraId="0C820229" w14:textId="77777777" w:rsidR="00BF2DD2" w:rsidRDefault="00BF2DD2">
      <w:pPr>
        <w:shd w:val="clear" w:color="auto" w:fill="FFFFFF"/>
        <w:spacing w:after="120"/>
        <w:textAlignment w:val="baseline"/>
        <w:rPr>
          <w:rFonts w:ascii="Arial" w:hAnsi="Arial" w:cs="Arial"/>
          <w:sz w:val="23"/>
          <w:szCs w:val="23"/>
        </w:rPr>
      </w:pPr>
    </w:p>
    <w:p w14:paraId="7299A792" w14:textId="77777777" w:rsidR="00BF2DD2" w:rsidRDefault="00CA65F6">
      <w:pPr>
        <w:spacing w:line="276" w:lineRule="auto"/>
        <w:rPr>
          <w:rFonts w:ascii="Arial" w:hAnsi="Arial" w:cs="Arial"/>
          <w:i/>
          <w:iCs/>
          <w:color w:val="088C45"/>
          <w:sz w:val="28"/>
          <w:szCs w:val="28"/>
        </w:rPr>
      </w:pPr>
      <w:r>
        <w:rPr>
          <w:rFonts w:ascii="Arial" w:hAnsi="Arial" w:cs="Arial"/>
          <w:i/>
          <w:iCs/>
          <w:color w:val="088C45"/>
          <w:sz w:val="28"/>
          <w:szCs w:val="28"/>
        </w:rPr>
        <w:lastRenderedPageBreak/>
        <w:t>Websites</w:t>
      </w:r>
    </w:p>
    <w:p w14:paraId="0BBE9396" w14:textId="77777777" w:rsidR="00BF2DD2" w:rsidRDefault="00CA65F6">
      <w:pPr>
        <w:spacing w:line="480" w:lineRule="auto"/>
        <w:jc w:val="both"/>
        <w:rPr>
          <w:rFonts w:ascii="Arial" w:hAnsi="Arial" w:cs="Arial"/>
          <w:color w:val="000000"/>
          <w:sz w:val="23"/>
          <w:szCs w:val="23"/>
        </w:rPr>
      </w:pPr>
      <w:r>
        <w:rPr>
          <w:rFonts w:ascii="Arial" w:hAnsi="Arial" w:cs="Arial"/>
          <w:color w:val="000000"/>
          <w:sz w:val="23"/>
          <w:szCs w:val="23"/>
        </w:rPr>
        <w:t>EBSCOhost.com</w:t>
      </w:r>
    </w:p>
    <w:p w14:paraId="2930AB99" w14:textId="77777777" w:rsidR="00BF2DD2" w:rsidRDefault="00BF2DD2">
      <w:pPr>
        <w:spacing w:after="120"/>
        <w:rPr>
          <w:rFonts w:ascii="Arial" w:hAnsi="Arial" w:cs="Arial"/>
          <w:sz w:val="23"/>
          <w:szCs w:val="23"/>
        </w:rPr>
      </w:pPr>
    </w:p>
    <w:sectPr w:rsidR="00BF2DD2">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3ADC93"/>
    <w:multiLevelType w:val="singleLevel"/>
    <w:tmpl w:val="893ADC9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3897135"/>
    <w:multiLevelType w:val="multilevel"/>
    <w:tmpl w:val="93897135"/>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9EFFC83B"/>
    <w:multiLevelType w:val="multilevel"/>
    <w:tmpl w:val="9EFFC83B"/>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AF32B57E"/>
    <w:multiLevelType w:val="multilevel"/>
    <w:tmpl w:val="AF32B57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B17A9082"/>
    <w:multiLevelType w:val="singleLevel"/>
    <w:tmpl w:val="B17A9082"/>
    <w:lvl w:ilvl="0">
      <w:start w:val="18"/>
      <w:numFmt w:val="upperLetter"/>
      <w:lvlText w:val="%1."/>
      <w:lvlJc w:val="left"/>
      <w:pPr>
        <w:tabs>
          <w:tab w:val="left" w:pos="312"/>
        </w:tabs>
      </w:pPr>
    </w:lvl>
  </w:abstractNum>
  <w:abstractNum w:abstractNumId="5" w15:restartNumberingAfterBreak="0">
    <w:nsid w:val="B444326F"/>
    <w:multiLevelType w:val="multilevel"/>
    <w:tmpl w:val="B444326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B9527B97"/>
    <w:multiLevelType w:val="multilevel"/>
    <w:tmpl w:val="B9527B9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C20F6489"/>
    <w:multiLevelType w:val="multilevel"/>
    <w:tmpl w:val="C20F648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15:restartNumberingAfterBreak="0">
    <w:nsid w:val="C31C01CA"/>
    <w:multiLevelType w:val="multilevel"/>
    <w:tmpl w:val="C31C01CA"/>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15:restartNumberingAfterBreak="0">
    <w:nsid w:val="CA6F522D"/>
    <w:multiLevelType w:val="multilevel"/>
    <w:tmpl w:val="CA6F522D"/>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0" w15:restartNumberingAfterBreak="0">
    <w:nsid w:val="DB33F97D"/>
    <w:multiLevelType w:val="singleLevel"/>
    <w:tmpl w:val="DB33F97D"/>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E3FF252D"/>
    <w:multiLevelType w:val="multilevel"/>
    <w:tmpl w:val="E3FF252D"/>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2" w15:restartNumberingAfterBreak="0">
    <w:nsid w:val="E54BE19A"/>
    <w:multiLevelType w:val="multilevel"/>
    <w:tmpl w:val="E54BE19A"/>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15:restartNumberingAfterBreak="0">
    <w:nsid w:val="E9107E48"/>
    <w:multiLevelType w:val="multilevel"/>
    <w:tmpl w:val="E9107E48"/>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4" w15:restartNumberingAfterBreak="0">
    <w:nsid w:val="E91E1111"/>
    <w:multiLevelType w:val="multilevel"/>
    <w:tmpl w:val="E91E111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F44A3F7B"/>
    <w:multiLevelType w:val="singleLevel"/>
    <w:tmpl w:val="F44A3F7B"/>
    <w:lvl w:ilvl="0">
      <w:start w:val="18"/>
      <w:numFmt w:val="upperLetter"/>
      <w:lvlText w:val="%1."/>
      <w:lvlJc w:val="left"/>
      <w:pPr>
        <w:tabs>
          <w:tab w:val="left" w:pos="312"/>
        </w:tabs>
      </w:pPr>
    </w:lvl>
  </w:abstractNum>
  <w:abstractNum w:abstractNumId="16" w15:restartNumberingAfterBreak="0">
    <w:nsid w:val="F604BD51"/>
    <w:multiLevelType w:val="multilevel"/>
    <w:tmpl w:val="F604BD51"/>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7" w15:restartNumberingAfterBreak="0">
    <w:nsid w:val="FDE28B39"/>
    <w:multiLevelType w:val="singleLevel"/>
    <w:tmpl w:val="FDE28B39"/>
    <w:lvl w:ilvl="0">
      <w:start w:val="1"/>
      <w:numFmt w:val="bullet"/>
      <w:lvlText w:val=""/>
      <w:lvlJc w:val="left"/>
      <w:pPr>
        <w:tabs>
          <w:tab w:val="left" w:pos="420"/>
        </w:tabs>
        <w:ind w:left="420" w:hanging="420"/>
      </w:pPr>
      <w:rPr>
        <w:rFonts w:ascii="Wingdings" w:hAnsi="Wingdings" w:hint="default"/>
      </w:rPr>
    </w:lvl>
  </w:abstractNum>
  <w:abstractNum w:abstractNumId="18" w15:restartNumberingAfterBreak="0">
    <w:nsid w:val="02AA4617"/>
    <w:multiLevelType w:val="multilevel"/>
    <w:tmpl w:val="02AA4617"/>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9" w15:restartNumberingAfterBreak="0">
    <w:nsid w:val="068D5769"/>
    <w:multiLevelType w:val="multilevel"/>
    <w:tmpl w:val="068D576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0" w15:restartNumberingAfterBreak="0">
    <w:nsid w:val="09A87FDF"/>
    <w:multiLevelType w:val="multilevel"/>
    <w:tmpl w:val="09A87FD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1" w15:restartNumberingAfterBreak="0">
    <w:nsid w:val="0D0E674F"/>
    <w:multiLevelType w:val="singleLevel"/>
    <w:tmpl w:val="0D0E674F"/>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0E745D53"/>
    <w:multiLevelType w:val="multilevel"/>
    <w:tmpl w:val="0E745D53"/>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3" w15:restartNumberingAfterBreak="0">
    <w:nsid w:val="14F228E9"/>
    <w:multiLevelType w:val="multilevel"/>
    <w:tmpl w:val="14F228E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4" w15:restartNumberingAfterBreak="0">
    <w:nsid w:val="15DF5BC1"/>
    <w:multiLevelType w:val="multilevel"/>
    <w:tmpl w:val="15DF5BC1"/>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5" w15:restartNumberingAfterBreak="0">
    <w:nsid w:val="1DB0877F"/>
    <w:multiLevelType w:val="multilevel"/>
    <w:tmpl w:val="1DB0877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6" w15:restartNumberingAfterBreak="0">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561D47"/>
    <w:multiLevelType w:val="multilevel"/>
    <w:tmpl w:val="2C561D47"/>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3DBBC23A"/>
    <w:multiLevelType w:val="multilevel"/>
    <w:tmpl w:val="3DBBC23A"/>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9" w15:restartNumberingAfterBreak="0">
    <w:nsid w:val="3F025C54"/>
    <w:multiLevelType w:val="multilevel"/>
    <w:tmpl w:val="3F025C54"/>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0" w15:restartNumberingAfterBreak="0">
    <w:nsid w:val="4AAC2FCF"/>
    <w:multiLevelType w:val="multilevel"/>
    <w:tmpl w:val="4AAC2FC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1" w15:restartNumberingAfterBreak="0">
    <w:nsid w:val="50143CD9"/>
    <w:multiLevelType w:val="multilevel"/>
    <w:tmpl w:val="50143CD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2" w15:restartNumberingAfterBreak="0">
    <w:nsid w:val="54D17F76"/>
    <w:multiLevelType w:val="multilevel"/>
    <w:tmpl w:val="54D17F76"/>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3" w15:restartNumberingAfterBreak="0">
    <w:nsid w:val="577C04F2"/>
    <w:multiLevelType w:val="singleLevel"/>
    <w:tmpl w:val="577C04F2"/>
    <w:lvl w:ilvl="0">
      <w:start w:val="1"/>
      <w:numFmt w:val="bullet"/>
      <w:lvlText w:val=""/>
      <w:lvlJc w:val="left"/>
      <w:pPr>
        <w:tabs>
          <w:tab w:val="left" w:pos="420"/>
        </w:tabs>
        <w:ind w:left="420" w:hanging="420"/>
      </w:pPr>
      <w:rPr>
        <w:rFonts w:ascii="Wingdings" w:hAnsi="Wingdings" w:hint="default"/>
      </w:rPr>
    </w:lvl>
  </w:abstractNum>
  <w:abstractNum w:abstractNumId="34" w15:restartNumberingAfterBreak="0">
    <w:nsid w:val="5FADD5AF"/>
    <w:multiLevelType w:val="singleLevel"/>
    <w:tmpl w:val="5FADD5AF"/>
    <w:lvl w:ilvl="0">
      <w:start w:val="1"/>
      <w:numFmt w:val="bullet"/>
      <w:lvlText w:val=""/>
      <w:lvlJc w:val="left"/>
      <w:pPr>
        <w:tabs>
          <w:tab w:val="left" w:pos="420"/>
        </w:tabs>
        <w:ind w:left="420" w:hanging="420"/>
      </w:pPr>
      <w:rPr>
        <w:rFonts w:ascii="Wingdings" w:hAnsi="Wingdings" w:hint="default"/>
      </w:rPr>
    </w:lvl>
  </w:abstractNum>
  <w:abstractNum w:abstractNumId="35" w15:restartNumberingAfterBreak="0">
    <w:nsid w:val="65810C62"/>
    <w:multiLevelType w:val="multilevel"/>
    <w:tmpl w:val="65810C62"/>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6" w15:restartNumberingAfterBreak="0">
    <w:nsid w:val="6B117F45"/>
    <w:multiLevelType w:val="multilevel"/>
    <w:tmpl w:val="6B117F45"/>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7" w15:restartNumberingAfterBreak="0">
    <w:nsid w:val="7452786B"/>
    <w:multiLevelType w:val="multilevel"/>
    <w:tmpl w:val="7452786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E7EF4B9"/>
    <w:multiLevelType w:val="multilevel"/>
    <w:tmpl w:val="7E7EF4B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
  </w:num>
  <w:num w:numId="5">
    <w:abstractNumId w:val="14"/>
  </w:num>
  <w:num w:numId="6">
    <w:abstractNumId w:val="6"/>
  </w:num>
  <w:num w:numId="7">
    <w:abstractNumId w:val="1"/>
  </w:num>
  <w:num w:numId="8">
    <w:abstractNumId w:val="23"/>
  </w:num>
  <w:num w:numId="9">
    <w:abstractNumId w:val="11"/>
  </w:num>
  <w:num w:numId="10">
    <w:abstractNumId w:val="15"/>
  </w:num>
  <w:num w:numId="11">
    <w:abstractNumId w:val="21"/>
  </w:num>
  <w:num w:numId="12">
    <w:abstractNumId w:val="38"/>
  </w:num>
  <w:num w:numId="13">
    <w:abstractNumId w:val="7"/>
  </w:num>
  <w:num w:numId="14">
    <w:abstractNumId w:val="28"/>
  </w:num>
  <w:num w:numId="15">
    <w:abstractNumId w:val="33"/>
  </w:num>
  <w:num w:numId="16">
    <w:abstractNumId w:val="25"/>
  </w:num>
  <w:num w:numId="17">
    <w:abstractNumId w:val="13"/>
  </w:num>
  <w:num w:numId="18">
    <w:abstractNumId w:val="16"/>
  </w:num>
  <w:num w:numId="19">
    <w:abstractNumId w:val="5"/>
  </w:num>
  <w:num w:numId="20">
    <w:abstractNumId w:val="31"/>
  </w:num>
  <w:num w:numId="21">
    <w:abstractNumId w:val="2"/>
  </w:num>
  <w:num w:numId="22">
    <w:abstractNumId w:val="19"/>
  </w:num>
  <w:num w:numId="23">
    <w:abstractNumId w:val="36"/>
  </w:num>
  <w:num w:numId="24">
    <w:abstractNumId w:val="12"/>
  </w:num>
  <w:num w:numId="25">
    <w:abstractNumId w:val="30"/>
  </w:num>
  <w:num w:numId="26">
    <w:abstractNumId w:val="18"/>
  </w:num>
  <w:num w:numId="27">
    <w:abstractNumId w:val="22"/>
  </w:num>
  <w:num w:numId="28">
    <w:abstractNumId w:val="4"/>
  </w:num>
  <w:num w:numId="29">
    <w:abstractNumId w:val="17"/>
  </w:num>
  <w:num w:numId="30">
    <w:abstractNumId w:val="20"/>
  </w:num>
  <w:num w:numId="31">
    <w:abstractNumId w:val="37"/>
  </w:num>
  <w:num w:numId="32">
    <w:abstractNumId w:val="34"/>
  </w:num>
  <w:num w:numId="33">
    <w:abstractNumId w:val="10"/>
  </w:num>
  <w:num w:numId="34">
    <w:abstractNumId w:val="0"/>
  </w:num>
  <w:num w:numId="35">
    <w:abstractNumId w:val="29"/>
  </w:num>
  <w:num w:numId="36">
    <w:abstractNumId w:val="9"/>
  </w:num>
  <w:num w:numId="37">
    <w:abstractNumId w:val="32"/>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B4"/>
    <w:rsid w:val="00016149"/>
    <w:rsid w:val="00017DA0"/>
    <w:rsid w:val="00023710"/>
    <w:rsid w:val="00023BB6"/>
    <w:rsid w:val="00051F26"/>
    <w:rsid w:val="00072A3D"/>
    <w:rsid w:val="000A01BB"/>
    <w:rsid w:val="000A353A"/>
    <w:rsid w:val="000A783D"/>
    <w:rsid w:val="000B7075"/>
    <w:rsid w:val="000C672A"/>
    <w:rsid w:val="000D79E0"/>
    <w:rsid w:val="000E1E38"/>
    <w:rsid w:val="000E31D2"/>
    <w:rsid w:val="000E72CA"/>
    <w:rsid w:val="000F665A"/>
    <w:rsid w:val="000F7D42"/>
    <w:rsid w:val="00131ADB"/>
    <w:rsid w:val="00161D40"/>
    <w:rsid w:val="001E6EC8"/>
    <w:rsid w:val="00217FF7"/>
    <w:rsid w:val="002305EB"/>
    <w:rsid w:val="00243890"/>
    <w:rsid w:val="00243C9A"/>
    <w:rsid w:val="002A5264"/>
    <w:rsid w:val="002C01F8"/>
    <w:rsid w:val="00310B98"/>
    <w:rsid w:val="00315036"/>
    <w:rsid w:val="0031624B"/>
    <w:rsid w:val="003333B1"/>
    <w:rsid w:val="00346416"/>
    <w:rsid w:val="0038368A"/>
    <w:rsid w:val="00392775"/>
    <w:rsid w:val="003A3F9C"/>
    <w:rsid w:val="003A4311"/>
    <w:rsid w:val="003B1568"/>
    <w:rsid w:val="003C0A25"/>
    <w:rsid w:val="003E620C"/>
    <w:rsid w:val="00435754"/>
    <w:rsid w:val="00450DA9"/>
    <w:rsid w:val="00453C89"/>
    <w:rsid w:val="004578C6"/>
    <w:rsid w:val="00465C8F"/>
    <w:rsid w:val="004974B8"/>
    <w:rsid w:val="004A3EE7"/>
    <w:rsid w:val="004C56FE"/>
    <w:rsid w:val="004D1200"/>
    <w:rsid w:val="004D31BE"/>
    <w:rsid w:val="004E1C62"/>
    <w:rsid w:val="005225DB"/>
    <w:rsid w:val="0055198A"/>
    <w:rsid w:val="00555314"/>
    <w:rsid w:val="0057139E"/>
    <w:rsid w:val="00597F16"/>
    <w:rsid w:val="005A2A9F"/>
    <w:rsid w:val="005A2ABE"/>
    <w:rsid w:val="005B0877"/>
    <w:rsid w:val="005D6FDC"/>
    <w:rsid w:val="005E4548"/>
    <w:rsid w:val="00602248"/>
    <w:rsid w:val="006268F8"/>
    <w:rsid w:val="00641951"/>
    <w:rsid w:val="00641CE4"/>
    <w:rsid w:val="00644B8C"/>
    <w:rsid w:val="00657F66"/>
    <w:rsid w:val="00681684"/>
    <w:rsid w:val="006A5C5F"/>
    <w:rsid w:val="006C2EC5"/>
    <w:rsid w:val="006C410B"/>
    <w:rsid w:val="006E1C10"/>
    <w:rsid w:val="007162F2"/>
    <w:rsid w:val="00736289"/>
    <w:rsid w:val="00773536"/>
    <w:rsid w:val="00780976"/>
    <w:rsid w:val="00785F76"/>
    <w:rsid w:val="007B5A47"/>
    <w:rsid w:val="007D184F"/>
    <w:rsid w:val="008225CC"/>
    <w:rsid w:val="00861DFD"/>
    <w:rsid w:val="00862FC1"/>
    <w:rsid w:val="008773DE"/>
    <w:rsid w:val="008B217D"/>
    <w:rsid w:val="008B7323"/>
    <w:rsid w:val="008C1E38"/>
    <w:rsid w:val="008C385E"/>
    <w:rsid w:val="008C3B47"/>
    <w:rsid w:val="008D2ADC"/>
    <w:rsid w:val="008E50B1"/>
    <w:rsid w:val="008F0059"/>
    <w:rsid w:val="00917A3C"/>
    <w:rsid w:val="00941AA3"/>
    <w:rsid w:val="0094608C"/>
    <w:rsid w:val="00981088"/>
    <w:rsid w:val="00986E1C"/>
    <w:rsid w:val="009A0262"/>
    <w:rsid w:val="009B3A63"/>
    <w:rsid w:val="009C2F72"/>
    <w:rsid w:val="00A225A0"/>
    <w:rsid w:val="00A44343"/>
    <w:rsid w:val="00A51E79"/>
    <w:rsid w:val="00A528B0"/>
    <w:rsid w:val="00AA64CA"/>
    <w:rsid w:val="00AC1D43"/>
    <w:rsid w:val="00AC2A4F"/>
    <w:rsid w:val="00AD7A33"/>
    <w:rsid w:val="00AF3E7C"/>
    <w:rsid w:val="00AF62BE"/>
    <w:rsid w:val="00B00519"/>
    <w:rsid w:val="00B30795"/>
    <w:rsid w:val="00B413AF"/>
    <w:rsid w:val="00B43BB2"/>
    <w:rsid w:val="00B60976"/>
    <w:rsid w:val="00B84C69"/>
    <w:rsid w:val="00B93D6F"/>
    <w:rsid w:val="00BC1CC6"/>
    <w:rsid w:val="00BE5B6E"/>
    <w:rsid w:val="00BF06B6"/>
    <w:rsid w:val="00BF2DD2"/>
    <w:rsid w:val="00C11E8C"/>
    <w:rsid w:val="00C7243D"/>
    <w:rsid w:val="00C73238"/>
    <w:rsid w:val="00CA65F6"/>
    <w:rsid w:val="00CB4335"/>
    <w:rsid w:val="00CB6C2B"/>
    <w:rsid w:val="00CD644F"/>
    <w:rsid w:val="00D0348F"/>
    <w:rsid w:val="00D1196E"/>
    <w:rsid w:val="00D176B4"/>
    <w:rsid w:val="00D34D59"/>
    <w:rsid w:val="00D35AEF"/>
    <w:rsid w:val="00D35E37"/>
    <w:rsid w:val="00D400B1"/>
    <w:rsid w:val="00D91BDB"/>
    <w:rsid w:val="00D95C81"/>
    <w:rsid w:val="00DF5794"/>
    <w:rsid w:val="00E16FA1"/>
    <w:rsid w:val="00E32BB9"/>
    <w:rsid w:val="00E61A49"/>
    <w:rsid w:val="00E914B1"/>
    <w:rsid w:val="00E96B8D"/>
    <w:rsid w:val="00EA1DEB"/>
    <w:rsid w:val="00ED70AC"/>
    <w:rsid w:val="00EF1780"/>
    <w:rsid w:val="00F14CCC"/>
    <w:rsid w:val="00F254FC"/>
    <w:rsid w:val="00F369AE"/>
    <w:rsid w:val="00F43AF1"/>
    <w:rsid w:val="00F76632"/>
    <w:rsid w:val="00F87EF9"/>
    <w:rsid w:val="00F91E86"/>
    <w:rsid w:val="00FC3974"/>
    <w:rsid w:val="00FD618D"/>
    <w:rsid w:val="02807555"/>
    <w:rsid w:val="24414F00"/>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88A2"/>
  <w15:docId w15:val="{814C4449-6AC4-4873-8889-7246F7EB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eastAsia="Times New Roma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paragraph" w:customStyle="1" w:styleId="Pa3">
    <w:name w:val="Pa3"/>
    <w:basedOn w:val="Normal"/>
    <w:next w:val="Normal"/>
    <w:uiPriority w:val="99"/>
    <w:qFormat/>
    <w:pPr>
      <w:autoSpaceDE w:val="0"/>
      <w:autoSpaceDN w:val="0"/>
      <w:adjustRightInd w:val="0"/>
      <w:spacing w:line="241" w:lineRule="atLeast"/>
    </w:pPr>
    <w:rPr>
      <w:rFonts w:ascii="Arial" w:hAnsi="Arial" w:cs="Arial"/>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qFormat/>
  </w:style>
  <w:style w:type="character" w:styleId="UnresolvedMention">
    <w:name w:val="Unresolved Mention"/>
    <w:basedOn w:val="DefaultParagraphFont"/>
    <w:uiPriority w:val="99"/>
    <w:semiHidden/>
    <w:unhideWhenUsed/>
    <w:rsid w:val="008F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doh.gov.ph" TargetMode="External"/><Relationship Id="rId2" Type="http://schemas.openxmlformats.org/officeDocument/2006/relationships/customXml" Target="../customXml/item2.xml"/><Relationship Id="rId16" Type="http://schemas.openxmlformats.org/officeDocument/2006/relationships/hyperlink" Target="http://thepafp.org/website/wp-content/uploads/2017/05/Philippine-Health-Care-Laws.pdf"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5E007B-408D-42DC-8EC8-B7C55B692F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Ann Lopez</cp:lastModifiedBy>
  <cp:revision>2</cp:revision>
  <cp:lastPrinted>2020-06-29T06:13:00Z</cp:lastPrinted>
  <dcterms:created xsi:type="dcterms:W3CDTF">2021-08-28T03:30:00Z</dcterms:created>
  <dcterms:modified xsi:type="dcterms:W3CDTF">2021-08-28T03:30:00Z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